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0B6000A9"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B0622A">
        <w:rPr>
          <w:rFonts w:ascii="Arial" w:hAnsi="Arial" w:cs="Arial"/>
          <w:b/>
          <w:sz w:val="20"/>
          <w:szCs w:val="20"/>
        </w:rPr>
        <w:t>10</w:t>
      </w:r>
      <w:r w:rsidR="00B0622A" w:rsidRPr="007541BD">
        <w:rPr>
          <w:rFonts w:ascii="Arial" w:hAnsi="Arial" w:cs="Arial"/>
          <w:b/>
          <w:sz w:val="20"/>
          <w:szCs w:val="20"/>
        </w:rPr>
        <w:t xml:space="preserve">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090D9F4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B0622A">
        <w:rPr>
          <w:rFonts w:ascii="Arial" w:hAnsi="Arial" w:cs="Arial"/>
          <w:b/>
          <w:sz w:val="20"/>
          <w:szCs w:val="20"/>
        </w:rPr>
        <w:t>16 kwietnia 2020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0493E4C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w:t>
      </w:r>
      <w:r w:rsidR="00B0622A">
        <w:rPr>
          <w:rFonts w:ascii="Arial" w:hAnsi="Arial" w:cs="Arial"/>
          <w:b/>
          <w:color w:val="auto"/>
          <w:sz w:val="24"/>
          <w:szCs w:val="24"/>
        </w:rPr>
        <w:t>I</w:t>
      </w:r>
      <w:r w:rsidRPr="002B50C0">
        <w:rPr>
          <w:rFonts w:ascii="Arial" w:hAnsi="Arial" w:cs="Arial"/>
          <w:b/>
          <w:color w:val="auto"/>
          <w:sz w:val="24"/>
          <w:szCs w:val="24"/>
        </w:rPr>
        <w:t xml:space="preserve"> kwartał </w:t>
      </w:r>
      <w:r w:rsidR="003D736C">
        <w:rPr>
          <w:rFonts w:ascii="Arial" w:hAnsi="Arial" w:cs="Arial"/>
          <w:b/>
          <w:color w:val="auto"/>
          <w:sz w:val="24"/>
          <w:szCs w:val="24"/>
        </w:rPr>
        <w:t>20</w:t>
      </w:r>
      <w:r w:rsidR="00B0622A">
        <w:rPr>
          <w:rFonts w:ascii="Arial" w:hAnsi="Arial" w:cs="Arial"/>
          <w:b/>
          <w:color w:val="auto"/>
          <w:sz w:val="24"/>
          <w:szCs w:val="24"/>
        </w:rPr>
        <w:t>20</w:t>
      </w:r>
      <w:r w:rsidR="003D736C">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417372A5" w:rsidR="005212C8" w:rsidRPr="00490C24" w:rsidRDefault="00B8735C" w:rsidP="00B11368">
            <w:pPr>
              <w:spacing w:line="276" w:lineRule="auto"/>
              <w:rPr>
                <w:rFonts w:ascii="Arial" w:hAnsi="Arial" w:cs="Arial"/>
                <w:color w:val="0070C0"/>
                <w:sz w:val="18"/>
                <w:szCs w:val="18"/>
              </w:rPr>
            </w:pPr>
            <w:r w:rsidRPr="00490C24">
              <w:rPr>
                <w:rFonts w:ascii="Arial" w:hAnsi="Arial" w:cs="Arial"/>
                <w:sz w:val="18"/>
                <w:szCs w:val="18"/>
              </w:rPr>
              <w:t>11 3</w:t>
            </w:r>
            <w:r w:rsidR="00B11368">
              <w:rPr>
                <w:rFonts w:ascii="Arial" w:hAnsi="Arial" w:cs="Arial"/>
                <w:sz w:val="18"/>
                <w:szCs w:val="18"/>
              </w:rPr>
              <w:t>49</w:t>
            </w:r>
            <w:r w:rsidRPr="00490C24">
              <w:rPr>
                <w:rFonts w:ascii="Arial" w:hAnsi="Arial" w:cs="Arial"/>
                <w:sz w:val="18"/>
                <w:szCs w:val="18"/>
              </w:rPr>
              <w:t xml:space="preserve"> </w:t>
            </w:r>
            <w:r w:rsidR="00B11368">
              <w:rPr>
                <w:rFonts w:ascii="Arial" w:hAnsi="Arial" w:cs="Arial"/>
                <w:sz w:val="18"/>
                <w:szCs w:val="18"/>
              </w:rPr>
              <w:t>406</w:t>
            </w:r>
            <w:r w:rsidRPr="00490C24">
              <w:rPr>
                <w:rFonts w:ascii="Arial" w:hAnsi="Arial" w:cs="Arial"/>
                <w:sz w:val="18"/>
                <w:szCs w:val="18"/>
              </w:rPr>
              <w:t>,25 zł  (</w:t>
            </w:r>
            <w:r w:rsidR="00B11368">
              <w:rPr>
                <w:rFonts w:ascii="Arial" w:hAnsi="Arial" w:cs="Arial"/>
                <w:sz w:val="18"/>
                <w:szCs w:val="18"/>
              </w:rPr>
              <w:t>Cała kwota porozumienia obejmuje wyłącznie wydatki kwalifikowalne)</w:t>
            </w:r>
            <w:r w:rsidRPr="00490C24">
              <w:rPr>
                <w:rFonts w:ascii="Arial" w:hAnsi="Arial" w:cs="Arial"/>
                <w:color w:val="000000"/>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2B972D29" w:rsidR="003D736C" w:rsidRPr="00141A92" w:rsidRDefault="00BA0B57" w:rsidP="00BA0B57">
            <w:pPr>
              <w:jc w:val="center"/>
              <w:rPr>
                <w:rFonts w:ascii="Arial" w:hAnsi="Arial" w:cs="Arial"/>
                <w:color w:val="0070C0"/>
                <w:sz w:val="18"/>
                <w:szCs w:val="20"/>
              </w:rPr>
            </w:pPr>
            <w:r>
              <w:rPr>
                <w:rFonts w:ascii="Arial" w:hAnsi="Arial" w:cs="Arial"/>
                <w:color w:val="000000" w:themeColor="text1"/>
                <w:sz w:val="18"/>
                <w:szCs w:val="20"/>
              </w:rPr>
              <w:t>4</w:t>
            </w:r>
            <w:r w:rsidR="00B11368">
              <w:rPr>
                <w:rFonts w:ascii="Arial" w:hAnsi="Arial" w:cs="Arial"/>
                <w:color w:val="000000" w:themeColor="text1"/>
                <w:sz w:val="18"/>
                <w:szCs w:val="20"/>
              </w:rPr>
              <w:t>8</w:t>
            </w:r>
            <w:r w:rsidR="003D736C">
              <w:rPr>
                <w:rFonts w:ascii="Arial" w:hAnsi="Arial" w:cs="Arial"/>
                <w:color w:val="000000" w:themeColor="text1"/>
                <w:sz w:val="18"/>
                <w:szCs w:val="20"/>
              </w:rPr>
              <w:t>,</w:t>
            </w:r>
            <w:r>
              <w:rPr>
                <w:rFonts w:ascii="Arial" w:hAnsi="Arial" w:cs="Arial"/>
                <w:color w:val="000000" w:themeColor="text1"/>
                <w:sz w:val="18"/>
                <w:szCs w:val="20"/>
              </w:rPr>
              <w:t>4</w:t>
            </w:r>
            <w:r w:rsidR="003D736C" w:rsidRPr="00843DC4">
              <w:rPr>
                <w:rFonts w:ascii="Arial" w:hAnsi="Arial" w:cs="Arial"/>
                <w:color w:val="000000" w:themeColor="text1"/>
                <w:sz w:val="18"/>
                <w:szCs w:val="20"/>
              </w:rPr>
              <w:t>%</w:t>
            </w:r>
          </w:p>
        </w:tc>
        <w:tc>
          <w:tcPr>
            <w:tcW w:w="3260" w:type="dxa"/>
            <w:vAlign w:val="center"/>
          </w:tcPr>
          <w:p w14:paraId="547B1781" w14:textId="427F7ADF" w:rsidR="003D736C" w:rsidRDefault="00081E69" w:rsidP="003D736C">
            <w:pPr>
              <w:jc w:val="center"/>
              <w:rPr>
                <w:rFonts w:ascii="Arial" w:hAnsi="Arial" w:cs="Arial"/>
                <w:color w:val="000000" w:themeColor="text1"/>
                <w:sz w:val="18"/>
                <w:szCs w:val="20"/>
              </w:rPr>
            </w:pPr>
            <w:r>
              <w:rPr>
                <w:rFonts w:ascii="Arial" w:hAnsi="Arial" w:cs="Arial"/>
                <w:color w:val="000000" w:themeColor="text1"/>
                <w:sz w:val="18"/>
                <w:szCs w:val="20"/>
              </w:rPr>
              <w:t>19</w:t>
            </w:r>
            <w:r w:rsidR="003D736C" w:rsidRPr="00843DC4">
              <w:rPr>
                <w:rFonts w:ascii="Arial" w:hAnsi="Arial" w:cs="Arial"/>
                <w:color w:val="000000" w:themeColor="text1"/>
                <w:sz w:val="18"/>
                <w:szCs w:val="20"/>
              </w:rPr>
              <w:t>,</w:t>
            </w:r>
            <w:r>
              <w:rPr>
                <w:rFonts w:ascii="Arial" w:hAnsi="Arial" w:cs="Arial"/>
                <w:color w:val="000000" w:themeColor="text1"/>
                <w:sz w:val="18"/>
                <w:szCs w:val="20"/>
              </w:rPr>
              <w:t>8</w:t>
            </w:r>
            <w:r w:rsidR="00B11368">
              <w:rPr>
                <w:rFonts w:ascii="Arial" w:hAnsi="Arial" w:cs="Arial"/>
                <w:color w:val="000000" w:themeColor="text1"/>
                <w:sz w:val="18"/>
                <w:szCs w:val="20"/>
              </w:rPr>
              <w:t xml:space="preserve">4 </w:t>
            </w:r>
            <w:r w:rsidR="003D736C">
              <w:rPr>
                <w:rFonts w:ascii="Arial" w:hAnsi="Arial" w:cs="Arial"/>
                <w:color w:val="000000" w:themeColor="text1"/>
                <w:sz w:val="18"/>
                <w:szCs w:val="20"/>
              </w:rPr>
              <w:t>%</w:t>
            </w:r>
          </w:p>
          <w:p w14:paraId="705AD9A4" w14:textId="2506DF52" w:rsidR="005C7352" w:rsidRDefault="00B11368" w:rsidP="003D736C">
            <w:pPr>
              <w:jc w:val="center"/>
              <w:rPr>
                <w:rFonts w:ascii="Arial" w:hAnsi="Arial" w:cs="Arial"/>
                <w:color w:val="000000" w:themeColor="text1"/>
                <w:sz w:val="18"/>
                <w:szCs w:val="20"/>
              </w:rPr>
            </w:pPr>
            <w:r>
              <w:rPr>
                <w:rFonts w:ascii="Arial" w:hAnsi="Arial" w:cs="Arial"/>
                <w:color w:val="000000" w:themeColor="text1"/>
                <w:sz w:val="18"/>
                <w:szCs w:val="20"/>
              </w:rPr>
              <w:t>2</w:t>
            </w:r>
            <w:r w:rsidR="005C7352">
              <w:rPr>
                <w:rFonts w:ascii="Arial" w:hAnsi="Arial" w:cs="Arial"/>
                <w:color w:val="000000" w:themeColor="text1"/>
                <w:sz w:val="18"/>
                <w:szCs w:val="20"/>
              </w:rPr>
              <w:t>,</w:t>
            </w:r>
            <w:r>
              <w:rPr>
                <w:rFonts w:ascii="Arial" w:hAnsi="Arial" w:cs="Arial"/>
                <w:color w:val="000000" w:themeColor="text1"/>
                <w:sz w:val="18"/>
                <w:szCs w:val="20"/>
              </w:rPr>
              <w:t>13</w:t>
            </w:r>
            <w:r w:rsidR="005C7352">
              <w:rPr>
                <w:rFonts w:ascii="Arial" w:hAnsi="Arial" w:cs="Arial"/>
                <w:color w:val="000000" w:themeColor="text1"/>
                <w:sz w:val="18"/>
                <w:szCs w:val="20"/>
              </w:rPr>
              <w:t xml:space="preserve"> %</w:t>
            </w:r>
          </w:p>
          <w:p w14:paraId="4929DAC9" w14:textId="33370F9E" w:rsidR="005C7352" w:rsidRPr="00CE23CF" w:rsidRDefault="00081E69" w:rsidP="00081E69">
            <w:pPr>
              <w:jc w:val="center"/>
              <w:rPr>
                <w:rFonts w:ascii="Arial" w:hAnsi="Arial" w:cs="Arial"/>
                <w:color w:val="000000" w:themeColor="text1"/>
                <w:sz w:val="18"/>
                <w:szCs w:val="20"/>
              </w:rPr>
            </w:pPr>
            <w:r>
              <w:rPr>
                <w:rFonts w:ascii="Arial" w:hAnsi="Arial" w:cs="Arial"/>
                <w:color w:val="000000" w:themeColor="text1"/>
                <w:sz w:val="18"/>
                <w:szCs w:val="20"/>
              </w:rPr>
              <w:t>19</w:t>
            </w:r>
            <w:r w:rsidR="00CE23CF" w:rsidRPr="00CE23CF">
              <w:rPr>
                <w:rFonts w:ascii="Arial" w:hAnsi="Arial" w:cs="Arial"/>
                <w:color w:val="000000" w:themeColor="text1"/>
                <w:sz w:val="18"/>
                <w:szCs w:val="20"/>
              </w:rPr>
              <w:t>,</w:t>
            </w:r>
            <w:r>
              <w:rPr>
                <w:rFonts w:ascii="Arial" w:hAnsi="Arial" w:cs="Arial"/>
                <w:color w:val="000000" w:themeColor="text1"/>
                <w:sz w:val="18"/>
                <w:szCs w:val="20"/>
              </w:rPr>
              <w:t>6</w:t>
            </w:r>
            <w:r w:rsidR="00B11368">
              <w:rPr>
                <w:rFonts w:ascii="Arial" w:hAnsi="Arial" w:cs="Arial"/>
                <w:color w:val="000000" w:themeColor="text1"/>
                <w:sz w:val="18"/>
                <w:szCs w:val="20"/>
              </w:rPr>
              <w:t>3</w:t>
            </w:r>
            <w:r w:rsidR="00CE23CF" w:rsidRPr="00CE23CF">
              <w:rPr>
                <w:rFonts w:ascii="Arial" w:hAnsi="Arial" w:cs="Arial"/>
                <w:color w:val="000000" w:themeColor="text1"/>
                <w:sz w:val="18"/>
                <w:szCs w:val="20"/>
              </w:rPr>
              <w:t xml:space="preserve"> %</w:t>
            </w:r>
          </w:p>
        </w:tc>
        <w:tc>
          <w:tcPr>
            <w:tcW w:w="3402" w:type="dxa"/>
            <w:vAlign w:val="center"/>
          </w:tcPr>
          <w:p w14:paraId="665DA058" w14:textId="77777777" w:rsidR="003D736C" w:rsidRDefault="00645E75" w:rsidP="00645E75">
            <w:pPr>
              <w:jc w:val="center"/>
              <w:rPr>
                <w:rFonts w:ascii="Arial" w:hAnsi="Arial" w:cs="Arial"/>
                <w:color w:val="000000" w:themeColor="text1"/>
                <w:sz w:val="18"/>
                <w:szCs w:val="20"/>
              </w:rPr>
            </w:pPr>
            <w:r>
              <w:rPr>
                <w:rFonts w:ascii="Arial" w:hAnsi="Arial" w:cs="Arial"/>
                <w:color w:val="000000" w:themeColor="text1"/>
                <w:sz w:val="18"/>
                <w:szCs w:val="20"/>
              </w:rPr>
              <w:t>67</w:t>
            </w:r>
            <w:r w:rsidR="00CE63B2">
              <w:rPr>
                <w:rFonts w:ascii="Arial" w:hAnsi="Arial" w:cs="Arial"/>
                <w:color w:val="000000" w:themeColor="text1"/>
                <w:sz w:val="18"/>
                <w:szCs w:val="20"/>
              </w:rPr>
              <w:t>,</w:t>
            </w:r>
            <w:r>
              <w:rPr>
                <w:rFonts w:ascii="Arial" w:hAnsi="Arial" w:cs="Arial"/>
                <w:color w:val="000000" w:themeColor="text1"/>
                <w:sz w:val="18"/>
                <w:szCs w:val="20"/>
              </w:rPr>
              <w:t>75</w:t>
            </w:r>
            <w:r w:rsidR="00014699">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p w14:paraId="65BB31D3" w14:textId="33D39D88" w:rsidR="00866716" w:rsidRPr="00141A92" w:rsidRDefault="00866716" w:rsidP="00866716">
            <w:pPr>
              <w:jc w:val="center"/>
              <w:rPr>
                <w:rFonts w:ascii="Arial" w:hAnsi="Arial" w:cs="Arial"/>
                <w:color w:val="0070C0"/>
                <w:sz w:val="18"/>
                <w:szCs w:val="20"/>
              </w:rPr>
            </w:pPr>
            <w:r w:rsidRPr="00866716">
              <w:rPr>
                <w:rFonts w:ascii="Arial" w:hAnsi="Arial" w:cs="Arial"/>
                <w:color w:val="000000" w:themeColor="text1"/>
                <w:sz w:val="18"/>
                <w:szCs w:val="20"/>
              </w:rPr>
              <w:t xml:space="preserve">Obniżka wskaźnika wynika z niższych kwot </w:t>
            </w:r>
            <w:r>
              <w:rPr>
                <w:rFonts w:ascii="Arial" w:hAnsi="Arial" w:cs="Arial"/>
                <w:color w:val="000000" w:themeColor="text1"/>
                <w:sz w:val="18"/>
                <w:szCs w:val="20"/>
              </w:rPr>
              <w:t xml:space="preserve">zakupu </w:t>
            </w:r>
            <w:r w:rsidRPr="00866716">
              <w:rPr>
                <w:rFonts w:ascii="Arial" w:hAnsi="Arial" w:cs="Arial"/>
                <w:color w:val="000000" w:themeColor="text1"/>
                <w:sz w:val="18"/>
                <w:szCs w:val="20"/>
              </w:rPr>
              <w:t>infrastruktur</w:t>
            </w:r>
            <w:r>
              <w:rPr>
                <w:rFonts w:ascii="Arial" w:hAnsi="Arial" w:cs="Arial"/>
                <w:color w:val="000000" w:themeColor="text1"/>
                <w:sz w:val="18"/>
                <w:szCs w:val="20"/>
              </w:rPr>
              <w:t>y</w:t>
            </w:r>
            <w:r w:rsidRPr="00866716">
              <w:rPr>
                <w:rFonts w:ascii="Arial" w:hAnsi="Arial" w:cs="Arial"/>
                <w:color w:val="000000" w:themeColor="text1"/>
                <w:sz w:val="18"/>
                <w:szCs w:val="20"/>
              </w:rPr>
              <w:t xml:space="preserve"> jak i </w:t>
            </w:r>
            <w:r>
              <w:rPr>
                <w:rFonts w:ascii="Arial" w:hAnsi="Arial" w:cs="Arial"/>
                <w:color w:val="000000" w:themeColor="text1"/>
                <w:sz w:val="18"/>
                <w:szCs w:val="20"/>
              </w:rPr>
              <w:t xml:space="preserve">wybranej oferty na </w:t>
            </w:r>
            <w:r w:rsidRPr="00866716">
              <w:rPr>
                <w:rFonts w:ascii="Arial" w:hAnsi="Arial" w:cs="Arial"/>
                <w:color w:val="000000" w:themeColor="text1"/>
                <w:sz w:val="18"/>
                <w:szCs w:val="20"/>
              </w:rPr>
              <w:t>budow</w:t>
            </w:r>
            <w:r>
              <w:rPr>
                <w:rFonts w:ascii="Arial" w:hAnsi="Arial" w:cs="Arial"/>
                <w:color w:val="000000" w:themeColor="text1"/>
                <w:sz w:val="18"/>
                <w:szCs w:val="20"/>
              </w:rPr>
              <w:t>ę</w:t>
            </w:r>
            <w:r w:rsidRPr="00866716">
              <w:rPr>
                <w:rFonts w:ascii="Arial" w:hAnsi="Arial" w:cs="Arial"/>
                <w:color w:val="000000" w:themeColor="text1"/>
                <w:sz w:val="18"/>
                <w:szCs w:val="20"/>
              </w:rPr>
              <w:t xml:space="preserve"> Systemu</w:t>
            </w:r>
            <w:r>
              <w:rPr>
                <w:rFonts w:ascii="Arial" w:hAnsi="Arial" w:cs="Arial"/>
                <w:color w:val="000000" w:themeColor="text1"/>
                <w:sz w:val="18"/>
                <w:szCs w:val="20"/>
              </w:rPr>
              <w:t xml:space="preserve"> EUREKA</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132B5000" w:rsidR="003D736C" w:rsidRPr="00A23E05" w:rsidRDefault="003D736C" w:rsidP="00A51E96">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52A9D362" w:rsidR="003D736C" w:rsidRPr="00A23E05" w:rsidRDefault="00EA2F98" w:rsidP="003D736C">
            <w:pPr>
              <w:pStyle w:val="Akapitzlist"/>
              <w:ind w:left="7"/>
              <w:rPr>
                <w:rFonts w:ascii="Arial" w:hAnsi="Arial" w:cs="Arial"/>
                <w:sz w:val="18"/>
                <w:szCs w:val="18"/>
              </w:rPr>
            </w:pPr>
            <w:r>
              <w:rPr>
                <w:rFonts w:ascii="Arial" w:hAnsi="Arial" w:cs="Arial"/>
                <w:sz w:val="18"/>
                <w:szCs w:val="18"/>
              </w:rPr>
              <w:t>05.2020 r.</w:t>
            </w:r>
          </w:p>
        </w:tc>
        <w:tc>
          <w:tcPr>
            <w:tcW w:w="2802" w:type="dxa"/>
          </w:tcPr>
          <w:p w14:paraId="2E8FBF4A" w14:textId="6026C76D" w:rsidR="00081E69" w:rsidRPr="00A23E05" w:rsidRDefault="00865BD6" w:rsidP="00081E69">
            <w:pPr>
              <w:rPr>
                <w:rFonts w:ascii="Arial" w:hAnsi="Arial" w:cs="Arial"/>
                <w:sz w:val="18"/>
                <w:szCs w:val="18"/>
              </w:rPr>
            </w:pPr>
            <w:r w:rsidRPr="00865BD6">
              <w:rPr>
                <w:rFonts w:ascii="Arial" w:hAnsi="Arial" w:cs="Arial"/>
                <w:sz w:val="18"/>
                <w:szCs w:val="18"/>
              </w:rPr>
              <w:t xml:space="preserve">- </w:t>
            </w:r>
            <w:r w:rsidR="00081E69" w:rsidRPr="00A23E05">
              <w:rPr>
                <w:rFonts w:ascii="Arial" w:hAnsi="Arial" w:cs="Arial"/>
                <w:sz w:val="18"/>
                <w:szCs w:val="18"/>
              </w:rPr>
              <w:t>osiągnięty</w:t>
            </w:r>
          </w:p>
          <w:p w14:paraId="06F14378" w14:textId="2AF84D07" w:rsidR="00865BD6" w:rsidRPr="00865BD6" w:rsidRDefault="00865BD6" w:rsidP="00865BD6">
            <w:pPr>
              <w:rPr>
                <w:rFonts w:ascii="Arial" w:hAnsi="Arial" w:cs="Arial"/>
                <w:sz w:val="18"/>
                <w:szCs w:val="18"/>
              </w:rPr>
            </w:pPr>
            <w:r w:rsidRPr="00865BD6">
              <w:rPr>
                <w:rFonts w:ascii="Arial" w:hAnsi="Arial" w:cs="Arial"/>
                <w:sz w:val="18"/>
                <w:szCs w:val="18"/>
              </w:rPr>
              <w:t xml:space="preserve">Postępowanie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 xml:space="preserve">prowadzone przez Centrum Informatyki Resortu Finansów. Opóźnienie spowodowane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koniecznością przeprowadzenia przez CIRF licznych postępowań o zamówienia publiczne, których termin płatności upływał 2019 r</w:t>
            </w:r>
          </w:p>
          <w:p w14:paraId="3355B8E8" w14:textId="77777777" w:rsidR="00081E69" w:rsidRDefault="00081E69" w:rsidP="00B8735C">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87770F">
              <w:rPr>
                <w:rFonts w:ascii="Arial" w:hAnsi="Arial" w:cs="Arial"/>
                <w:sz w:val="18"/>
                <w:szCs w:val="18"/>
              </w:rPr>
              <w:t xml:space="preserve"> </w:t>
            </w:r>
          </w:p>
          <w:p w14:paraId="6184957A" w14:textId="627C1FCC" w:rsidR="0000292B" w:rsidRPr="00A23E05" w:rsidRDefault="0000292B" w:rsidP="00B8735C">
            <w:pPr>
              <w:rPr>
                <w:rFonts w:ascii="Arial" w:hAnsi="Arial" w:cs="Arial"/>
                <w:sz w:val="18"/>
                <w:szCs w:val="18"/>
              </w:rPr>
            </w:pPr>
            <w:r>
              <w:rPr>
                <w:rFonts w:ascii="Arial" w:hAnsi="Arial" w:cs="Arial"/>
                <w:sz w:val="18"/>
                <w:szCs w:val="18"/>
              </w:rPr>
              <w:t>– 06.06.2020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66AB8DBF" w:rsidR="003D736C" w:rsidRPr="00A23E05" w:rsidRDefault="00A51E96" w:rsidP="003D736C">
            <w:pPr>
              <w:pStyle w:val="Akapitzlist"/>
              <w:ind w:left="7"/>
              <w:rPr>
                <w:rFonts w:ascii="Arial" w:hAnsi="Arial" w:cs="Arial"/>
                <w:sz w:val="18"/>
                <w:szCs w:val="18"/>
              </w:rPr>
            </w:pPr>
            <w:r>
              <w:rPr>
                <w:rFonts w:ascii="Arial" w:hAnsi="Arial" w:cs="Arial"/>
                <w:sz w:val="18"/>
                <w:szCs w:val="18"/>
              </w:rPr>
              <w:t>06.2020</w:t>
            </w:r>
            <w:r w:rsidR="00EA2F98">
              <w:rPr>
                <w:rFonts w:ascii="Arial" w:hAnsi="Arial" w:cs="Arial"/>
                <w:sz w:val="18"/>
                <w:szCs w:val="18"/>
              </w:rPr>
              <w:t xml:space="preserve"> r.</w:t>
            </w:r>
          </w:p>
        </w:tc>
        <w:tc>
          <w:tcPr>
            <w:tcW w:w="2802" w:type="dxa"/>
          </w:tcPr>
          <w:p w14:paraId="02CE294F" w14:textId="06B3F7A0"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 </w:t>
            </w:r>
            <w:r w:rsidR="00081E69">
              <w:rPr>
                <w:rFonts w:ascii="Arial" w:hAnsi="Arial" w:cs="Arial"/>
                <w:sz w:val="18"/>
                <w:szCs w:val="18"/>
              </w:rPr>
              <w:t xml:space="preserve">osiągnięty </w:t>
            </w:r>
          </w:p>
          <w:p w14:paraId="25DA85F9" w14:textId="77777777" w:rsidR="00A51E96" w:rsidRDefault="00865BD6" w:rsidP="00A51E96">
            <w:pPr>
              <w:pStyle w:val="Akapitzlist"/>
              <w:ind w:left="7"/>
              <w:rPr>
                <w:rFonts w:ascii="Arial" w:hAnsi="Arial" w:cs="Arial"/>
                <w:sz w:val="18"/>
                <w:szCs w:val="18"/>
              </w:rPr>
            </w:pPr>
            <w:r w:rsidRPr="00865BD6">
              <w:rPr>
                <w:rFonts w:ascii="Arial" w:hAnsi="Arial" w:cs="Arial"/>
                <w:sz w:val="18"/>
                <w:szCs w:val="18"/>
              </w:rPr>
              <w:t xml:space="preserve">Opóźnienie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konsekwencją przedłużających się prac nad przygotowaniem SIWZ Ogłoszenie przetargu nastąpiło dopiero w dniu 3 grudnia 2019 r.</w:t>
            </w:r>
            <w:r w:rsidR="0000292B">
              <w:rPr>
                <w:rFonts w:ascii="Arial" w:hAnsi="Arial" w:cs="Arial"/>
                <w:sz w:val="18"/>
                <w:szCs w:val="18"/>
              </w:rPr>
              <w:t xml:space="preserve"> Należy przy tym podkreślić, że </w:t>
            </w:r>
            <w:r w:rsidR="00A51E96">
              <w:rPr>
                <w:rFonts w:ascii="Arial" w:hAnsi="Arial" w:cs="Arial"/>
                <w:sz w:val="18"/>
                <w:szCs w:val="18"/>
              </w:rPr>
              <w:t>W</w:t>
            </w:r>
            <w:r w:rsidR="0000292B">
              <w:rPr>
                <w:rFonts w:ascii="Arial" w:hAnsi="Arial" w:cs="Arial"/>
                <w:sz w:val="18"/>
                <w:szCs w:val="18"/>
              </w:rPr>
              <w:t>ykonawc</w:t>
            </w:r>
            <w:r w:rsidR="00A51E96">
              <w:rPr>
                <w:rFonts w:ascii="Arial" w:hAnsi="Arial" w:cs="Arial"/>
                <w:sz w:val="18"/>
                <w:szCs w:val="18"/>
              </w:rPr>
              <w:t>a</w:t>
            </w:r>
            <w:r w:rsidR="0000292B">
              <w:rPr>
                <w:rFonts w:ascii="Arial" w:hAnsi="Arial" w:cs="Arial"/>
                <w:sz w:val="18"/>
                <w:szCs w:val="18"/>
              </w:rPr>
              <w:t>, złoży</w:t>
            </w:r>
            <w:r w:rsidR="00A51E96">
              <w:rPr>
                <w:rFonts w:ascii="Arial" w:hAnsi="Arial" w:cs="Arial"/>
                <w:sz w:val="18"/>
                <w:szCs w:val="18"/>
              </w:rPr>
              <w:t>ł</w:t>
            </w:r>
            <w:r w:rsidR="0000292B">
              <w:rPr>
                <w:rFonts w:ascii="Arial" w:hAnsi="Arial" w:cs="Arial"/>
                <w:sz w:val="18"/>
                <w:szCs w:val="18"/>
              </w:rPr>
              <w:t xml:space="preserve"> ofert</w:t>
            </w:r>
            <w:r w:rsidR="00A51E96">
              <w:rPr>
                <w:rFonts w:ascii="Arial" w:hAnsi="Arial" w:cs="Arial"/>
                <w:sz w:val="18"/>
                <w:szCs w:val="18"/>
              </w:rPr>
              <w:t>ę</w:t>
            </w:r>
            <w:r w:rsidR="0000292B">
              <w:rPr>
                <w:rFonts w:ascii="Arial" w:hAnsi="Arial" w:cs="Arial"/>
                <w:sz w:val="18"/>
                <w:szCs w:val="18"/>
              </w:rPr>
              <w:t xml:space="preserve"> </w:t>
            </w:r>
            <w:r w:rsidR="00A51E96">
              <w:rPr>
                <w:rFonts w:ascii="Arial" w:hAnsi="Arial" w:cs="Arial"/>
                <w:sz w:val="18"/>
                <w:szCs w:val="18"/>
              </w:rPr>
              <w:t xml:space="preserve">z </w:t>
            </w:r>
            <w:r w:rsidR="0000292B">
              <w:rPr>
                <w:rFonts w:ascii="Arial" w:hAnsi="Arial" w:cs="Arial"/>
                <w:sz w:val="18"/>
                <w:szCs w:val="18"/>
              </w:rPr>
              <w:t>roczny</w:t>
            </w:r>
            <w:r w:rsidR="00A51E96">
              <w:rPr>
                <w:rFonts w:ascii="Arial" w:hAnsi="Arial" w:cs="Arial"/>
                <w:sz w:val="18"/>
                <w:szCs w:val="18"/>
              </w:rPr>
              <w:t>m</w:t>
            </w:r>
            <w:r w:rsidR="0000292B">
              <w:rPr>
                <w:rFonts w:ascii="Arial" w:hAnsi="Arial" w:cs="Arial"/>
                <w:sz w:val="18"/>
                <w:szCs w:val="18"/>
              </w:rPr>
              <w:t xml:space="preserve"> termin wykonania przedmiotu zamówienia, więc </w:t>
            </w:r>
            <w:r w:rsidR="0000292B">
              <w:rPr>
                <w:rFonts w:ascii="Arial" w:hAnsi="Arial" w:cs="Arial"/>
                <w:sz w:val="18"/>
                <w:szCs w:val="18"/>
              </w:rPr>
              <w:lastRenderedPageBreak/>
              <w:t>końcowy termin realizacji projektu nie jest zagrożony</w:t>
            </w:r>
            <w:r w:rsidR="00A51E96">
              <w:rPr>
                <w:rFonts w:ascii="Arial" w:hAnsi="Arial" w:cs="Arial"/>
                <w:sz w:val="18"/>
                <w:szCs w:val="18"/>
              </w:rPr>
              <w:t xml:space="preserve"> </w:t>
            </w:r>
          </w:p>
          <w:p w14:paraId="39A4D3A5" w14:textId="4B526AF6" w:rsidR="0000292B" w:rsidRPr="00A23E05" w:rsidRDefault="00A51E96" w:rsidP="00A51E96">
            <w:pPr>
              <w:pStyle w:val="Akapitzlist"/>
              <w:ind w:left="7"/>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0000292B">
              <w:rPr>
                <w:rFonts w:ascii="Arial" w:hAnsi="Arial" w:cs="Arial"/>
                <w:sz w:val="18"/>
                <w:szCs w:val="18"/>
              </w:rPr>
              <w:t>– 06.06.2020 r.</w:t>
            </w:r>
          </w:p>
        </w:tc>
      </w:tr>
      <w:tr w:rsidR="003D736C" w:rsidRPr="00EA2F98" w14:paraId="672AE021" w14:textId="77777777" w:rsidTr="006B5117">
        <w:tc>
          <w:tcPr>
            <w:tcW w:w="2127" w:type="dxa"/>
          </w:tcPr>
          <w:p w14:paraId="571E7240" w14:textId="72E53856" w:rsidR="003D736C" w:rsidRPr="00EA2F98" w:rsidRDefault="003D736C" w:rsidP="003D736C">
            <w:pPr>
              <w:rPr>
                <w:rFonts w:ascii="Arial" w:hAnsi="Arial" w:cs="Arial"/>
                <w:sz w:val="18"/>
                <w:szCs w:val="18"/>
              </w:rPr>
            </w:pPr>
            <w:r w:rsidRPr="00EA2F98">
              <w:rPr>
                <w:rFonts w:ascii="Arial" w:hAnsi="Arial" w:cs="Arial"/>
                <w:sz w:val="18"/>
                <w:szCs w:val="18"/>
              </w:rPr>
              <w:lastRenderedPageBreak/>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EA2F98" w:rsidRDefault="003D736C" w:rsidP="003D736C">
            <w:pPr>
              <w:rPr>
                <w:rFonts w:ascii="Arial" w:hAnsi="Arial" w:cs="Arial"/>
                <w:color w:val="0070C0"/>
                <w:sz w:val="18"/>
                <w:szCs w:val="18"/>
              </w:rPr>
            </w:pPr>
          </w:p>
        </w:tc>
        <w:tc>
          <w:tcPr>
            <w:tcW w:w="1289" w:type="dxa"/>
          </w:tcPr>
          <w:p w14:paraId="3892B60F" w14:textId="5EAF4017"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6F5F3470" w14:textId="6C269E53" w:rsidR="003D736C" w:rsidRPr="00EA2F98" w:rsidRDefault="00EA2F98" w:rsidP="003D736C">
            <w:pPr>
              <w:pStyle w:val="Akapitzlist"/>
              <w:ind w:left="7"/>
              <w:rPr>
                <w:rFonts w:ascii="Arial" w:hAnsi="Arial" w:cs="Arial"/>
                <w:sz w:val="18"/>
                <w:szCs w:val="18"/>
              </w:rPr>
            </w:pPr>
            <w:r>
              <w:rPr>
                <w:rFonts w:ascii="Arial" w:hAnsi="Arial" w:cs="Arial"/>
                <w:sz w:val="18"/>
                <w:szCs w:val="18"/>
              </w:rPr>
              <w:t>06.</w:t>
            </w:r>
            <w:r w:rsidRPr="00EA2F98">
              <w:rPr>
                <w:rFonts w:ascii="Arial" w:hAnsi="Arial" w:cs="Arial"/>
                <w:sz w:val="18"/>
                <w:szCs w:val="18"/>
              </w:rPr>
              <w:t>2020</w:t>
            </w:r>
            <w:r>
              <w:rPr>
                <w:rFonts w:ascii="Arial" w:hAnsi="Arial" w:cs="Arial"/>
                <w:sz w:val="18"/>
                <w:szCs w:val="18"/>
              </w:rPr>
              <w:t xml:space="preserve"> r.</w:t>
            </w:r>
          </w:p>
        </w:tc>
        <w:tc>
          <w:tcPr>
            <w:tcW w:w="2802" w:type="dxa"/>
          </w:tcPr>
          <w:p w14:paraId="014EFD4D" w14:textId="1A0B1BD1" w:rsidR="003D736C"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Pr>
                <w:rFonts w:ascii="Arial" w:hAnsi="Arial" w:cs="Arial"/>
                <w:sz w:val="18"/>
                <w:szCs w:val="18"/>
              </w:rPr>
              <w:t>osiągnięty</w:t>
            </w:r>
          </w:p>
          <w:p w14:paraId="3AE9FAB7" w14:textId="147B2B5A" w:rsidR="007D538E" w:rsidRPr="00A51E96" w:rsidRDefault="007D538E">
            <w:pPr>
              <w:rPr>
                <w:rFonts w:ascii="Arial" w:hAnsi="Arial" w:cs="Arial"/>
                <w:sz w:val="18"/>
                <w:szCs w:val="18"/>
              </w:rPr>
            </w:pPr>
            <w:r w:rsidRPr="00A51E96">
              <w:rPr>
                <w:rFonts w:ascii="Arial" w:hAnsi="Arial" w:cs="Arial"/>
                <w:sz w:val="18"/>
                <w:szCs w:val="18"/>
              </w:rPr>
              <w:t>Opóźnienie jest konsekwencj</w:t>
            </w:r>
            <w:r w:rsidR="00A51E96">
              <w:rPr>
                <w:rFonts w:ascii="Arial" w:hAnsi="Arial" w:cs="Arial"/>
                <w:sz w:val="18"/>
                <w:szCs w:val="18"/>
              </w:rPr>
              <w:t>ą</w:t>
            </w:r>
            <w:r w:rsidRPr="00A51E96">
              <w:rPr>
                <w:rFonts w:ascii="Arial" w:hAnsi="Arial" w:cs="Arial"/>
                <w:sz w:val="18"/>
                <w:szCs w:val="18"/>
              </w:rPr>
              <w:t xml:space="preserve"> opóźnień w prowadzonych postepowaniach o udzielenie zamówień publicznych na elementy infrastruktury informatycznej. </w:t>
            </w:r>
          </w:p>
          <w:p w14:paraId="326BA878" w14:textId="720AC197" w:rsidR="0000292B" w:rsidRPr="00A51E96" w:rsidRDefault="00A51E96">
            <w:pPr>
              <w:rPr>
                <w:rFonts w:ascii="Arial" w:hAnsi="Arial" w:cs="Arial"/>
                <w:sz w:val="18"/>
                <w:szCs w:val="18"/>
              </w:rPr>
            </w:pPr>
            <w:r>
              <w:rPr>
                <w:rFonts w:ascii="Arial" w:hAnsi="Arial" w:cs="Arial"/>
                <w:sz w:val="18"/>
                <w:szCs w:val="18"/>
              </w:rPr>
              <w:t xml:space="preserve">Kamień milowy został osiągnięty przed datą punktu ostatecznego, określoną w harmonogramie kamieni milowych, tj.- </w:t>
            </w:r>
            <w:r w:rsidR="0000292B" w:rsidRPr="00A51E96">
              <w:rPr>
                <w:rFonts w:ascii="Arial" w:hAnsi="Arial" w:cs="Arial"/>
                <w:sz w:val="18"/>
                <w:szCs w:val="18"/>
              </w:rPr>
              <w:t>31.06.2020 r.</w:t>
            </w:r>
          </w:p>
        </w:tc>
      </w:tr>
      <w:tr w:rsidR="003D736C" w:rsidRPr="00A51E96" w14:paraId="0F20D8B8" w14:textId="77777777" w:rsidTr="006B5117">
        <w:tc>
          <w:tcPr>
            <w:tcW w:w="2127" w:type="dxa"/>
          </w:tcPr>
          <w:p w14:paraId="5588DD25" w14:textId="7A26D252" w:rsidR="003D736C" w:rsidRPr="00EA2F98" w:rsidRDefault="003D736C" w:rsidP="003D736C">
            <w:pPr>
              <w:rPr>
                <w:rFonts w:ascii="Arial" w:hAnsi="Arial" w:cs="Arial"/>
                <w:sz w:val="18"/>
                <w:szCs w:val="18"/>
              </w:rPr>
            </w:pPr>
            <w:r w:rsidRPr="00EA2F98">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EA2F98" w:rsidRDefault="003D736C" w:rsidP="003D736C">
            <w:pPr>
              <w:rPr>
                <w:rFonts w:ascii="Arial" w:hAnsi="Arial" w:cs="Arial"/>
                <w:color w:val="0070C0"/>
                <w:sz w:val="18"/>
                <w:szCs w:val="18"/>
              </w:rPr>
            </w:pPr>
          </w:p>
        </w:tc>
        <w:tc>
          <w:tcPr>
            <w:tcW w:w="1289" w:type="dxa"/>
          </w:tcPr>
          <w:p w14:paraId="41F8769D" w14:textId="3E5F9EEE"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73EB3D86" w14:textId="77777777" w:rsidR="003D736C" w:rsidRPr="00EA2F98" w:rsidRDefault="003D736C" w:rsidP="003D736C">
            <w:pPr>
              <w:pStyle w:val="Akapitzlist"/>
              <w:ind w:left="7"/>
              <w:rPr>
                <w:rFonts w:ascii="Arial" w:hAnsi="Arial" w:cs="Arial"/>
                <w:sz w:val="18"/>
                <w:szCs w:val="18"/>
              </w:rPr>
            </w:pPr>
          </w:p>
        </w:tc>
        <w:tc>
          <w:tcPr>
            <w:tcW w:w="2802" w:type="dxa"/>
          </w:tcPr>
          <w:p w14:paraId="45B3F850" w14:textId="2B474393" w:rsidR="007D538E"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sidRPr="00A51E96">
              <w:rPr>
                <w:rFonts w:ascii="Arial" w:hAnsi="Arial" w:cs="Arial"/>
                <w:sz w:val="18"/>
                <w:szCs w:val="18"/>
              </w:rPr>
              <w:t>w trakcie realizacji</w:t>
            </w:r>
          </w:p>
          <w:p w14:paraId="5CF80B38" w14:textId="48DBD5DB" w:rsidR="007D538E" w:rsidRPr="00A51E96" w:rsidRDefault="007D538E">
            <w:pPr>
              <w:rPr>
                <w:rFonts w:ascii="Arial" w:hAnsi="Arial" w:cs="Arial"/>
                <w:sz w:val="18"/>
                <w:szCs w:val="18"/>
              </w:rPr>
            </w:pPr>
            <w:r w:rsidRPr="00A51E96">
              <w:rPr>
                <w:rFonts w:ascii="Arial" w:hAnsi="Arial" w:cs="Arial"/>
                <w:sz w:val="18"/>
                <w:szCs w:val="18"/>
              </w:rPr>
              <w:t>Opóźnienie jest konsekwencją opóźnień w prowadzony</w:t>
            </w:r>
            <w:r w:rsidR="00B11368" w:rsidRPr="00A51E96">
              <w:rPr>
                <w:rFonts w:ascii="Arial" w:hAnsi="Arial" w:cs="Arial"/>
                <w:sz w:val="18"/>
                <w:szCs w:val="18"/>
              </w:rPr>
              <w:t>m</w:t>
            </w:r>
            <w:r w:rsidRPr="00A51E96">
              <w:rPr>
                <w:rFonts w:ascii="Arial" w:hAnsi="Arial" w:cs="Arial"/>
                <w:sz w:val="18"/>
                <w:szCs w:val="18"/>
              </w:rPr>
              <w:t xml:space="preserve"> postępowani</w:t>
            </w:r>
            <w:r w:rsidR="00B11368" w:rsidRPr="00A51E96">
              <w:rPr>
                <w:rFonts w:ascii="Arial" w:hAnsi="Arial" w:cs="Arial"/>
                <w:sz w:val="18"/>
                <w:szCs w:val="18"/>
              </w:rPr>
              <w:t>u</w:t>
            </w:r>
            <w:r w:rsidRPr="00A51E96">
              <w:rPr>
                <w:rFonts w:ascii="Arial" w:hAnsi="Arial" w:cs="Arial"/>
                <w:sz w:val="18"/>
                <w:szCs w:val="18"/>
              </w:rPr>
              <w:t xml:space="preserve"> o udzielenie zamówienia publicznego na narzędzie informatyczne dla Systemu EUREKA</w:t>
            </w:r>
            <w:r w:rsidR="00B11368" w:rsidRPr="00A51E96">
              <w:rPr>
                <w:rFonts w:ascii="Arial" w:hAnsi="Arial" w:cs="Arial"/>
                <w:sz w:val="18"/>
                <w:szCs w:val="18"/>
              </w:rPr>
              <w:t xml:space="preserve">. </w:t>
            </w:r>
          </w:p>
          <w:p w14:paraId="5150ADD2" w14:textId="3161F2F8" w:rsidR="003D736C" w:rsidRPr="00A51E96" w:rsidRDefault="007D538E">
            <w:pPr>
              <w:rPr>
                <w:rFonts w:ascii="Arial" w:hAnsi="Arial" w:cs="Arial"/>
                <w:sz w:val="18"/>
                <w:szCs w:val="18"/>
              </w:rPr>
            </w:pPr>
            <w:r w:rsidRPr="00A51E96">
              <w:rPr>
                <w:rFonts w:ascii="Arial" w:hAnsi="Arial" w:cs="Arial"/>
                <w:sz w:val="18"/>
                <w:szCs w:val="18"/>
              </w:rPr>
              <w:t xml:space="preserve">Przewidywany termin </w:t>
            </w:r>
            <w:r w:rsidR="0000292B" w:rsidRPr="00A51E96">
              <w:rPr>
                <w:rFonts w:ascii="Arial" w:hAnsi="Arial" w:cs="Arial"/>
                <w:sz w:val="18"/>
                <w:szCs w:val="18"/>
              </w:rPr>
              <w:t xml:space="preserve">– </w:t>
            </w:r>
            <w:r w:rsidR="00A51E96">
              <w:rPr>
                <w:rFonts w:ascii="Arial" w:hAnsi="Arial" w:cs="Arial"/>
                <w:sz w:val="18"/>
                <w:szCs w:val="18"/>
              </w:rPr>
              <w:t>wrzesień</w:t>
            </w:r>
            <w:r w:rsidR="00A51E96" w:rsidRPr="00A51E96">
              <w:rPr>
                <w:rFonts w:ascii="Arial" w:hAnsi="Arial" w:cs="Arial"/>
                <w:sz w:val="18"/>
                <w:szCs w:val="18"/>
              </w:rPr>
              <w:t xml:space="preserve"> </w:t>
            </w:r>
            <w:r w:rsidR="0000292B" w:rsidRPr="00A51E96">
              <w:rPr>
                <w:rFonts w:ascii="Arial" w:hAnsi="Arial" w:cs="Arial"/>
                <w:sz w:val="18"/>
                <w:szCs w:val="18"/>
              </w:rPr>
              <w:t>2020 r.</w:t>
            </w:r>
          </w:p>
          <w:p w14:paraId="22A42B60" w14:textId="2258E8FB" w:rsidR="0000292B" w:rsidRPr="00A51E96" w:rsidRDefault="0000292B">
            <w:pPr>
              <w:rPr>
                <w:rFonts w:ascii="Arial" w:hAnsi="Arial" w:cs="Arial"/>
                <w:b/>
                <w:sz w:val="18"/>
                <w:szCs w:val="18"/>
              </w:rPr>
            </w:pPr>
            <w:r w:rsidRPr="00A51E96">
              <w:rPr>
                <w:rFonts w:ascii="Arial" w:hAnsi="Arial" w:cs="Arial"/>
                <w:sz w:val="18"/>
                <w:szCs w:val="18"/>
              </w:rPr>
              <w:t>Data punktu ostatecznego – 31.09.2020 r.</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2FA001A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r w:rsidRPr="00A23E05">
              <w:rPr>
                <w:rFonts w:cs="Arial"/>
                <w:sz w:val="18"/>
                <w:szCs w:val="18"/>
              </w:rPr>
              <w:t>szt.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lastRenderedPageBreak/>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zwirtualizowane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(eWIT). System EUREKA w dokumentach znajdujących się w bazie 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lastRenderedPageBreak/>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Obecna wyszukiwarka SIP zasilana jest z bazy systemu informacji skarbowej SIP. W 2021 r. dane z tej bazy zostaną zmigrowane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pPr w:leftFromText="141" w:rightFromText="141" w:vertAnchor="text" w:tblpXSpec="right" w:tblpY="1"/>
        <w:tblOverlap w:val="never"/>
        <w:tblW w:w="9498" w:type="dxa"/>
        <w:tblLook w:val="04A0" w:firstRow="1" w:lastRow="0" w:firstColumn="1" w:lastColumn="0" w:noHBand="0" w:noVBand="1"/>
        <w:tblCaption w:val="Ryzyka wpływające na realizację projektu."/>
      </w:tblPr>
      <w:tblGrid>
        <w:gridCol w:w="3001"/>
        <w:gridCol w:w="1675"/>
        <w:gridCol w:w="2294"/>
        <w:gridCol w:w="2528"/>
      </w:tblGrid>
      <w:tr w:rsidR="00EB7C6F" w:rsidRPr="002B50C0" w14:paraId="7C4ECD4F" w14:textId="77777777" w:rsidTr="00EB7C6F">
        <w:trPr>
          <w:tblHeader/>
        </w:trPr>
        <w:tc>
          <w:tcPr>
            <w:tcW w:w="3001" w:type="dxa"/>
            <w:shd w:val="clear" w:color="auto" w:fill="D0CECE" w:themeFill="background2" w:themeFillShade="E6"/>
          </w:tcPr>
          <w:p w14:paraId="2BCBE18C" w14:textId="77777777" w:rsidR="00EB7C6F" w:rsidRPr="00141A92" w:rsidRDefault="00EB7C6F" w:rsidP="00EB7C6F">
            <w:pPr>
              <w:spacing w:before="60" w:after="60"/>
              <w:jc w:val="center"/>
              <w:rPr>
                <w:rFonts w:ascii="Arial" w:hAnsi="Arial" w:cs="Arial"/>
                <w:b/>
                <w:sz w:val="20"/>
                <w:szCs w:val="20"/>
              </w:rPr>
            </w:pPr>
            <w:r w:rsidRPr="00141A92">
              <w:rPr>
                <w:rFonts w:ascii="Arial" w:hAnsi="Arial" w:cs="Arial"/>
                <w:b/>
                <w:sz w:val="20"/>
                <w:szCs w:val="20"/>
              </w:rPr>
              <w:t>Nazwa ryzyka</w:t>
            </w:r>
          </w:p>
        </w:tc>
        <w:tc>
          <w:tcPr>
            <w:tcW w:w="1675" w:type="dxa"/>
            <w:shd w:val="clear" w:color="auto" w:fill="D0CECE" w:themeFill="background2" w:themeFillShade="E6"/>
          </w:tcPr>
          <w:p w14:paraId="47989226" w14:textId="0386DF83" w:rsidR="00EB7C6F" w:rsidRPr="00141A92" w:rsidRDefault="00EB7C6F" w:rsidP="00EB7C6F">
            <w:pPr>
              <w:widowControl w:val="0"/>
              <w:suppressAutoHyphens/>
              <w:spacing w:before="60" w:after="60"/>
              <w:jc w:val="center"/>
              <w:rPr>
                <w:rFonts w:ascii="Arial" w:hAnsi="Arial" w:cs="Arial"/>
                <w:b/>
                <w:sz w:val="20"/>
                <w:szCs w:val="20"/>
              </w:rPr>
            </w:pPr>
            <w:r w:rsidRPr="00141A92">
              <w:rPr>
                <w:rFonts w:ascii="Arial" w:hAnsi="Arial" w:cs="Arial"/>
                <w:b/>
                <w:sz w:val="20"/>
                <w:szCs w:val="20"/>
              </w:rPr>
              <w:t xml:space="preserve">Siła </w:t>
            </w:r>
            <w:r w:rsidRPr="00EB7C6F">
              <w:rPr>
                <w:rFonts w:ascii="Arial" w:eastAsia="Arial Unicode MS" w:hAnsi="Arial" w:cs="Arial"/>
                <w:b/>
                <w:bCs/>
                <w:kern w:val="1"/>
                <w:sz w:val="20"/>
                <w:szCs w:val="20"/>
              </w:rPr>
              <w:t>oddziaływania</w:t>
            </w:r>
          </w:p>
        </w:tc>
        <w:tc>
          <w:tcPr>
            <w:tcW w:w="2294" w:type="dxa"/>
            <w:shd w:val="clear" w:color="auto" w:fill="D0CECE" w:themeFill="background2" w:themeFillShade="E6"/>
          </w:tcPr>
          <w:p w14:paraId="432B90EC" w14:textId="77777777" w:rsidR="00EB7C6F" w:rsidRPr="002D7ADA" w:rsidRDefault="00EB7C6F" w:rsidP="00EB7C6F">
            <w:pPr>
              <w:spacing w:before="60" w:after="60"/>
              <w:jc w:val="center"/>
              <w:rPr>
                <w:rFonts w:ascii="Arial" w:hAnsi="Arial" w:cs="Arial"/>
                <w:b/>
                <w:sz w:val="20"/>
                <w:szCs w:val="20"/>
              </w:rPr>
            </w:pPr>
            <w:r w:rsidRPr="002D7ADA">
              <w:rPr>
                <w:rFonts w:ascii="Arial" w:hAnsi="Arial" w:cs="Arial"/>
                <w:b/>
                <w:sz w:val="20"/>
                <w:szCs w:val="20"/>
              </w:rPr>
              <w:t>Prawdopodobieństwo wystąpienia ryzyka</w:t>
            </w:r>
          </w:p>
        </w:tc>
        <w:tc>
          <w:tcPr>
            <w:tcW w:w="2528" w:type="dxa"/>
            <w:shd w:val="clear" w:color="auto" w:fill="D0CECE" w:themeFill="background2" w:themeFillShade="E6"/>
          </w:tcPr>
          <w:p w14:paraId="796394C2" w14:textId="1BE2C1D2" w:rsidR="00EB7C6F" w:rsidRPr="002D7ADA" w:rsidRDefault="00EB7C6F" w:rsidP="00EB7C6F">
            <w:pPr>
              <w:widowControl w:val="0"/>
              <w:suppressAutoHyphens/>
              <w:spacing w:before="60" w:after="60"/>
              <w:jc w:val="center"/>
              <w:rPr>
                <w:rFonts w:ascii="Arial" w:hAnsi="Arial" w:cs="Arial"/>
                <w:b/>
                <w:sz w:val="20"/>
                <w:szCs w:val="20"/>
              </w:rPr>
            </w:pPr>
            <w:r w:rsidRPr="002D7ADA">
              <w:rPr>
                <w:rFonts w:ascii="Arial" w:hAnsi="Arial" w:cs="Arial"/>
                <w:b/>
                <w:sz w:val="20"/>
                <w:szCs w:val="20"/>
              </w:rPr>
              <w:t xml:space="preserve">Sposób </w:t>
            </w:r>
            <w:r w:rsidRPr="00EB7C6F">
              <w:rPr>
                <w:rFonts w:ascii="Arial" w:eastAsia="Arial Unicode MS" w:hAnsi="Arial" w:cs="Arial"/>
                <w:b/>
                <w:bCs/>
                <w:kern w:val="1"/>
                <w:sz w:val="20"/>
                <w:szCs w:val="20"/>
              </w:rPr>
              <w:t>zarzadzania</w:t>
            </w:r>
            <w:r w:rsidRPr="002D7ADA">
              <w:rPr>
                <w:rFonts w:ascii="Arial" w:hAnsi="Arial" w:cs="Arial"/>
                <w:b/>
                <w:sz w:val="20"/>
                <w:szCs w:val="20"/>
              </w:rPr>
              <w:t xml:space="preserve"> ryzykiem</w:t>
            </w:r>
          </w:p>
        </w:tc>
      </w:tr>
      <w:tr w:rsidR="00EB7C6F" w:rsidRPr="002B50C0" w14:paraId="3430A6E0" w14:textId="77777777" w:rsidTr="00EB7C6F">
        <w:tc>
          <w:tcPr>
            <w:tcW w:w="3001" w:type="dxa"/>
          </w:tcPr>
          <w:p w14:paraId="76275332" w14:textId="77777777" w:rsidR="00EB7C6F" w:rsidRPr="00A23E05" w:rsidRDefault="00EB7C6F" w:rsidP="00EB7C6F">
            <w:pPr>
              <w:spacing w:before="60" w:after="60"/>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75" w:type="dxa"/>
          </w:tcPr>
          <w:p w14:paraId="5DAF9CF9"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duża</w:t>
            </w:r>
          </w:p>
        </w:tc>
        <w:tc>
          <w:tcPr>
            <w:tcW w:w="2294" w:type="dxa"/>
          </w:tcPr>
          <w:p w14:paraId="3525E761"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średnie</w:t>
            </w:r>
          </w:p>
        </w:tc>
        <w:tc>
          <w:tcPr>
            <w:tcW w:w="2528" w:type="dxa"/>
          </w:tcPr>
          <w:p w14:paraId="0A2A55CC" w14:textId="77777777" w:rsidR="00EB7C6F" w:rsidRDefault="00EB7C6F" w:rsidP="00EB7C6F">
            <w:pPr>
              <w:spacing w:before="60" w:after="60"/>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152A399F" w14:textId="77777777" w:rsidR="00EB7C6F" w:rsidRPr="00764D51" w:rsidRDefault="00EB7C6F" w:rsidP="00EB7C6F">
            <w:pPr>
              <w:spacing w:before="60" w:after="60"/>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0FF13952" w14:textId="70C2262D" w:rsidR="00EB7C6F" w:rsidRPr="00A23E05" w:rsidRDefault="00EB7C6F" w:rsidP="00EB7C6F">
            <w:pPr>
              <w:spacing w:before="60" w:after="60"/>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EB7C6F" w:rsidRPr="002B50C0" w14:paraId="0E6D9969" w14:textId="77777777" w:rsidTr="00EB7C6F">
        <w:tc>
          <w:tcPr>
            <w:tcW w:w="3001" w:type="dxa"/>
          </w:tcPr>
          <w:p w14:paraId="497EC008"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 xml:space="preserve">Ryzyko awarii spowodowane błędami dostawców (np. programistów) niewykrytymi w trakcie testowania (luki bezpieczeństwa, ukryte błędy, niska wydajność aplikacji), co może wpłynąć na dostępność i </w:t>
            </w:r>
            <w:r w:rsidRPr="00914174">
              <w:rPr>
                <w:rFonts w:ascii="Arial" w:hAnsi="Arial" w:cs="Arial"/>
                <w:sz w:val="18"/>
                <w:szCs w:val="18"/>
              </w:rPr>
              <w:lastRenderedPageBreak/>
              <w:t>bezpieczeństwo danych przechowywanych przez system</w:t>
            </w:r>
          </w:p>
        </w:tc>
        <w:tc>
          <w:tcPr>
            <w:tcW w:w="1675" w:type="dxa"/>
          </w:tcPr>
          <w:p w14:paraId="1E99D8E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lastRenderedPageBreak/>
              <w:t>średnia</w:t>
            </w:r>
          </w:p>
        </w:tc>
        <w:tc>
          <w:tcPr>
            <w:tcW w:w="2294" w:type="dxa"/>
          </w:tcPr>
          <w:p w14:paraId="0F22381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ECF5421"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Wdrożenie odpowiednich procedur dotyczących testów akceptacyjnych oraz wymóg testowania zmian na środowisku testowym przed wprowadzeniem na produkcję. Wprowadzenie procedur </w:t>
            </w:r>
            <w:r w:rsidRPr="00914174">
              <w:rPr>
                <w:rFonts w:ascii="Arial" w:hAnsi="Arial" w:cs="Arial"/>
                <w:sz w:val="18"/>
                <w:szCs w:val="18"/>
              </w:rPr>
              <w:lastRenderedPageBreak/>
              <w:t>odtworzenia systemu oraz systematycznego tworzenia kopii zapasowych. Regularne kontrole jakości systemu.</w:t>
            </w:r>
            <w:r w:rsidRPr="00914174">
              <w:rPr>
                <w:rFonts w:ascii="Arial" w:hAnsi="Arial" w:cs="Arial"/>
                <w:sz w:val="18"/>
                <w:szCs w:val="18"/>
              </w:rPr>
              <w:br/>
              <w:t>Zaplanowanie testów bezpieczeństwa.</w:t>
            </w:r>
          </w:p>
          <w:p w14:paraId="11A15F99" w14:textId="2C1F9629" w:rsidR="00DB0E63" w:rsidRDefault="00DB0E63" w:rsidP="00EB7C6F">
            <w:pPr>
              <w:spacing w:before="60" w:after="60"/>
              <w:rPr>
                <w:rFonts w:ascii="Arial" w:hAnsi="Arial" w:cs="Arial"/>
                <w:sz w:val="18"/>
                <w:szCs w:val="18"/>
              </w:rPr>
            </w:pPr>
            <w:r w:rsidRPr="00764D51">
              <w:rPr>
                <w:rFonts w:ascii="Arial" w:hAnsi="Arial" w:cs="Arial"/>
                <w:sz w:val="18"/>
                <w:szCs w:val="18"/>
              </w:rPr>
              <w:t xml:space="preserve">Efektem </w:t>
            </w:r>
            <w:r>
              <w:rPr>
                <w:rFonts w:ascii="Arial" w:hAnsi="Arial" w:cs="Arial"/>
                <w:sz w:val="18"/>
                <w:szCs w:val="18"/>
              </w:rPr>
              <w:t>będzie wychwycenie możliwie największej ilości błędów w systemie.</w:t>
            </w:r>
          </w:p>
          <w:p w14:paraId="62DB342D" w14:textId="0F401DA4" w:rsidR="00EB7C6F" w:rsidRPr="00A23E05"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FF7E52C" w14:textId="77777777" w:rsidTr="00EB7C6F">
        <w:tc>
          <w:tcPr>
            <w:tcW w:w="3001" w:type="dxa"/>
          </w:tcPr>
          <w:p w14:paraId="1DA31CAD"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lastRenderedPageBreak/>
              <w:t>Problemy z uzgodnieniem wymagań funkcjonalnych, wynikające z niedostatecznej współpracy przyszłych użytkowników</w:t>
            </w:r>
          </w:p>
        </w:tc>
        <w:tc>
          <w:tcPr>
            <w:tcW w:w="1675" w:type="dxa"/>
          </w:tcPr>
          <w:p w14:paraId="158FCFE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928579E"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BB61BCC"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Włączenie reprezentatywnych przedstawicieli użytkowników końcowych w procesy ustalania wymagań, testowania i odbioru systemu.</w:t>
            </w:r>
          </w:p>
          <w:p w14:paraId="7D53F570" w14:textId="56C9A982" w:rsidR="00DB0E63" w:rsidRDefault="00DB0E63" w:rsidP="00EB7C6F">
            <w:pPr>
              <w:spacing w:before="60" w:after="60"/>
              <w:rPr>
                <w:rFonts w:ascii="Arial" w:eastAsia="Times New Roman" w:hAnsi="Arial" w:cs="Arial"/>
                <w:sz w:val="18"/>
                <w:szCs w:val="18"/>
              </w:rPr>
            </w:pPr>
            <w:r>
              <w:rPr>
                <w:rFonts w:ascii="Arial" w:eastAsia="Times New Roman" w:hAnsi="Arial" w:cs="Arial"/>
                <w:sz w:val="18"/>
                <w:szCs w:val="18"/>
              </w:rPr>
              <w:t>Efektem będzie uzgodnienie wszystkich niezbędnych wymagań funkcjonalnych.</w:t>
            </w:r>
          </w:p>
          <w:p w14:paraId="04551AF5" w14:textId="2FD8853B" w:rsidR="00EB7C6F" w:rsidRPr="00A23E05" w:rsidRDefault="00EB7C6F" w:rsidP="00EB7C6F">
            <w:pPr>
              <w:spacing w:before="60" w:after="60"/>
              <w:rPr>
                <w:rFonts w:ascii="Arial" w:hAnsi="Arial" w:cs="Arial"/>
                <w:sz w:val="18"/>
                <w:szCs w:val="18"/>
              </w:rPr>
            </w:pPr>
            <w:r>
              <w:rPr>
                <w:rFonts w:ascii="Arial" w:eastAsia="Times New Roman" w:hAnsi="Arial" w:cs="Arial"/>
                <w:sz w:val="18"/>
                <w:szCs w:val="18"/>
              </w:rPr>
              <w:t>Z uwagi na końcowy etap uzgadniania wymagań funkcjonalnych z Wykonawcą systemu o</w:t>
            </w:r>
            <w:r w:rsidRPr="00323EE4">
              <w:rPr>
                <w:rFonts w:ascii="Arial" w:eastAsia="Times New Roman" w:hAnsi="Arial" w:cs="Arial"/>
                <w:sz w:val="18"/>
                <w:szCs w:val="18"/>
              </w:rPr>
              <w:t xml:space="preserve">cena ryzyka  </w:t>
            </w:r>
            <w:r>
              <w:rPr>
                <w:rFonts w:ascii="Arial" w:eastAsia="Times New Roman" w:hAnsi="Arial" w:cs="Arial"/>
                <w:sz w:val="18"/>
                <w:szCs w:val="18"/>
              </w:rPr>
              <w:t>została obniżona.</w:t>
            </w:r>
          </w:p>
        </w:tc>
      </w:tr>
      <w:tr w:rsidR="00EB7C6F" w:rsidRPr="002B50C0" w14:paraId="250C4C45" w14:textId="77777777" w:rsidTr="00EB7C6F">
        <w:tc>
          <w:tcPr>
            <w:tcW w:w="3001" w:type="dxa"/>
          </w:tcPr>
          <w:p w14:paraId="741F9D5A"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Problemy z wykonaniem systemów przez firmy wybrane do ich realizacji (opóźnienia, brak możliwości technicznych lub organizacyjnych do realizacji zamówienia)</w:t>
            </w:r>
          </w:p>
        </w:tc>
        <w:tc>
          <w:tcPr>
            <w:tcW w:w="1675" w:type="dxa"/>
          </w:tcPr>
          <w:p w14:paraId="7BE473C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0639F99A"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792942DD"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Wybór dostawców o odpowiednim do skali projektu doświadczeniu i potencjale technicznym; monitorowanie na bieżąco postępów prac po stronie dostawców, zarówno usług, jak i sprzętu.</w:t>
            </w:r>
          </w:p>
          <w:p w14:paraId="1178BFC3" w14:textId="0231C9EB" w:rsidR="00DB0E63" w:rsidRDefault="00DB0E63" w:rsidP="00EB7C6F">
            <w:pPr>
              <w:spacing w:before="60" w:after="60"/>
              <w:rPr>
                <w:rFonts w:ascii="Arial" w:hAnsi="Arial" w:cs="Arial"/>
                <w:sz w:val="18"/>
                <w:szCs w:val="18"/>
              </w:rPr>
            </w:pPr>
            <w:r>
              <w:rPr>
                <w:rFonts w:ascii="Arial" w:hAnsi="Arial" w:cs="Arial"/>
                <w:sz w:val="18"/>
                <w:szCs w:val="18"/>
              </w:rPr>
              <w:t>Efektem będzie bieżąca współpraca z Wykonawca systemu i szybkie reagowanie na ewentualne problemy.</w:t>
            </w:r>
          </w:p>
          <w:p w14:paraId="3EF701C9" w14:textId="1A63966D" w:rsidR="00EB7C6F" w:rsidRPr="00A23E05" w:rsidRDefault="00EB7C6F" w:rsidP="00EB7C6F">
            <w:pPr>
              <w:spacing w:before="60" w:after="60"/>
              <w:rPr>
                <w:rFonts w:ascii="Arial" w:hAnsi="Arial" w:cs="Arial"/>
                <w:sz w:val="18"/>
                <w:szCs w:val="18"/>
              </w:rPr>
            </w:pPr>
            <w:r w:rsidRPr="00323EE4">
              <w:rPr>
                <w:rFonts w:ascii="Arial" w:eastAsia="Times New Roman" w:hAnsi="Arial" w:cs="Arial"/>
                <w:sz w:val="18"/>
                <w:szCs w:val="18"/>
              </w:rPr>
              <w:t xml:space="preserve">Ocena ryzyka  </w:t>
            </w:r>
            <w:r>
              <w:rPr>
                <w:rFonts w:ascii="Arial" w:eastAsia="Times New Roman" w:hAnsi="Arial" w:cs="Arial"/>
                <w:sz w:val="18"/>
                <w:szCs w:val="18"/>
              </w:rPr>
              <w:t>została obniżona.</w:t>
            </w:r>
          </w:p>
        </w:tc>
      </w:tr>
      <w:tr w:rsidR="00EB7C6F" w:rsidRPr="002B50C0" w14:paraId="30B616F6" w14:textId="77777777" w:rsidTr="00EB7C6F">
        <w:tc>
          <w:tcPr>
            <w:tcW w:w="3001" w:type="dxa"/>
          </w:tcPr>
          <w:p w14:paraId="63D6BB25"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związane jest z synchronizacją dostawy poszczególnych składników systemu (infrastruktura, oprogramowanie, wdrożenie).</w:t>
            </w:r>
          </w:p>
        </w:tc>
        <w:tc>
          <w:tcPr>
            <w:tcW w:w="1675" w:type="dxa"/>
          </w:tcPr>
          <w:p w14:paraId="3FD6709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20AAAEF2"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F063C13"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zamówień i dostaw w sposób zapewniający ich synchronizację. Podjęcie standardowych działań zarządczych zgodnie z powszechnie znanymi metodykami ( Prince 2)</w:t>
            </w:r>
            <w:r>
              <w:rPr>
                <w:rFonts w:ascii="Arial" w:hAnsi="Arial" w:cs="Arial"/>
                <w:sz w:val="18"/>
                <w:szCs w:val="18"/>
              </w:rPr>
              <w:t>.</w:t>
            </w:r>
          </w:p>
          <w:p w14:paraId="4B1BE714" w14:textId="004549DE" w:rsidR="00DB0E63" w:rsidRDefault="00DB0E63" w:rsidP="00EB7C6F">
            <w:pPr>
              <w:spacing w:before="60" w:after="60"/>
              <w:rPr>
                <w:rFonts w:ascii="Arial" w:hAnsi="Arial" w:cs="Arial"/>
                <w:sz w:val="18"/>
                <w:szCs w:val="18"/>
              </w:rPr>
            </w:pPr>
            <w:r>
              <w:rPr>
                <w:rFonts w:ascii="Arial" w:hAnsi="Arial" w:cs="Arial"/>
                <w:sz w:val="18"/>
                <w:szCs w:val="18"/>
              </w:rPr>
              <w:t>Efektem będzie dostawa poszczególnych składników systemu w terminach pozwalających na terminowe wdrożenie systemu.</w:t>
            </w:r>
          </w:p>
          <w:p w14:paraId="3D3B8DA7" w14:textId="3D48A4A4"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Z uwagi na zakończenie prac związanych z dostawą infrastruktury o</w:t>
            </w:r>
            <w:r w:rsidRPr="00323EE4">
              <w:rPr>
                <w:rFonts w:ascii="Arial" w:eastAsia="Times New Roman" w:hAnsi="Arial" w:cs="Arial"/>
                <w:sz w:val="18"/>
                <w:szCs w:val="18"/>
              </w:rPr>
              <w:t xml:space="preserve">cena ryzyka  </w:t>
            </w:r>
            <w:r>
              <w:rPr>
                <w:rFonts w:ascii="Arial" w:eastAsia="Times New Roman" w:hAnsi="Arial" w:cs="Arial"/>
                <w:sz w:val="18"/>
                <w:szCs w:val="18"/>
              </w:rPr>
              <w:t>została obniżona.</w:t>
            </w:r>
          </w:p>
        </w:tc>
      </w:tr>
      <w:tr w:rsidR="00EB7C6F" w:rsidRPr="002B50C0" w14:paraId="3EAA7479" w14:textId="77777777" w:rsidTr="00EB7C6F">
        <w:tc>
          <w:tcPr>
            <w:tcW w:w="3001" w:type="dxa"/>
          </w:tcPr>
          <w:p w14:paraId="549BA64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 xml:space="preserve">Ryzyko wydłużenia czasu realizacji Projektu związanego z prowadzeniem postępowań przetargowych (protesty i odwołania składane przez Wykonawców) jak również opóźnienia w procesie oceny ofert i wyboru wykonawcy mogą </w:t>
            </w:r>
            <w:r w:rsidRPr="00914174">
              <w:rPr>
                <w:rFonts w:ascii="Arial" w:hAnsi="Arial" w:cs="Arial"/>
                <w:sz w:val="18"/>
                <w:szCs w:val="18"/>
              </w:rPr>
              <w:lastRenderedPageBreak/>
              <w:t>skutkować, przekroczeniem zakładanych terminów na przygotowanie i realizację przetargów</w:t>
            </w:r>
          </w:p>
        </w:tc>
        <w:tc>
          <w:tcPr>
            <w:tcW w:w="1675" w:type="dxa"/>
          </w:tcPr>
          <w:p w14:paraId="72477DA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lastRenderedPageBreak/>
              <w:t>duża</w:t>
            </w:r>
          </w:p>
        </w:tc>
        <w:tc>
          <w:tcPr>
            <w:tcW w:w="2294" w:type="dxa"/>
          </w:tcPr>
          <w:p w14:paraId="3BACA4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6925D56F"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Planowanie odpowiednich rezerw czasowych dla postępowań przetargowych. Opracowywanie dokumentacji przetargowych, które minimalizować będą liczbę protestów i odwołań.</w:t>
            </w:r>
          </w:p>
          <w:p w14:paraId="7D2F7E9F" w14:textId="225A6CAE" w:rsidR="00DB0E63" w:rsidRDefault="00DB0E63" w:rsidP="00EB7C6F">
            <w:pPr>
              <w:spacing w:before="60" w:after="60"/>
              <w:rPr>
                <w:rFonts w:ascii="Arial" w:hAnsi="Arial" w:cs="Arial"/>
                <w:sz w:val="18"/>
                <w:szCs w:val="18"/>
              </w:rPr>
            </w:pPr>
            <w:r>
              <w:rPr>
                <w:rFonts w:ascii="Arial" w:hAnsi="Arial" w:cs="Arial"/>
                <w:sz w:val="18"/>
                <w:szCs w:val="18"/>
              </w:rPr>
              <w:lastRenderedPageBreak/>
              <w:t>Efektem jest realizacja projektu w sposób zapewniający wdrożenie systemu w zaplanowanym terminie.</w:t>
            </w:r>
          </w:p>
          <w:p w14:paraId="6B79E747" w14:textId="07FCD94F" w:rsidR="00EB7C6F" w:rsidRPr="00914174" w:rsidRDefault="00EB7C6F" w:rsidP="00EB7C6F">
            <w:pPr>
              <w:spacing w:before="60" w:after="60"/>
              <w:rPr>
                <w:rFonts w:ascii="Arial" w:hAnsi="Arial" w:cs="Arial"/>
                <w:sz w:val="18"/>
                <w:szCs w:val="18"/>
              </w:rPr>
            </w:pPr>
            <w:r>
              <w:rPr>
                <w:rFonts w:ascii="Arial" w:hAnsi="Arial" w:cs="Arial"/>
                <w:sz w:val="18"/>
                <w:szCs w:val="18"/>
              </w:rPr>
              <w:t xml:space="preserve">Z uwagi na zakończenie postępowań przetargowych nastąpiła </w:t>
            </w:r>
            <w:r w:rsidRPr="00E82429">
              <w:rPr>
                <w:rFonts w:ascii="Arial" w:hAnsi="Arial" w:cs="Arial"/>
                <w:sz w:val="18"/>
                <w:szCs w:val="18"/>
              </w:rPr>
              <w:t>zmiana w zakresie danego ryzyka w stosunku do po-przedniego okresu sprawozdawczego - „ryzyko zamknięte”</w:t>
            </w:r>
          </w:p>
        </w:tc>
      </w:tr>
      <w:tr w:rsidR="00EB7C6F" w:rsidRPr="002B50C0" w14:paraId="72DF7B1D" w14:textId="77777777" w:rsidTr="00EB7C6F">
        <w:tc>
          <w:tcPr>
            <w:tcW w:w="3001" w:type="dxa"/>
          </w:tcPr>
          <w:p w14:paraId="2C430C2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Przedłużające się terminy przekazania systemu użytkownikom.</w:t>
            </w:r>
          </w:p>
        </w:tc>
        <w:tc>
          <w:tcPr>
            <w:tcW w:w="1675" w:type="dxa"/>
          </w:tcPr>
          <w:p w14:paraId="233688A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7E25C0B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095E2577"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Wysoka jakość nadzoru na realizacją projektu. Wykonalność projektu i harmonogramu wdrożenia</w:t>
            </w:r>
          </w:p>
          <w:p w14:paraId="02080ADC" w14:textId="4D2110BC" w:rsidR="00DB0E63" w:rsidRDefault="00DB0E63" w:rsidP="00FE2B73">
            <w:pPr>
              <w:spacing w:before="60" w:after="60"/>
              <w:rPr>
                <w:rFonts w:ascii="Arial" w:hAnsi="Arial" w:cs="Arial"/>
                <w:sz w:val="18"/>
                <w:szCs w:val="18"/>
              </w:rPr>
            </w:pPr>
            <w:r>
              <w:rPr>
                <w:rFonts w:ascii="Arial" w:hAnsi="Arial" w:cs="Arial"/>
                <w:sz w:val="18"/>
                <w:szCs w:val="18"/>
              </w:rPr>
              <w:t>Efektem będzie realizacja projektu w sposób zapewniający wdrożenie systemu w zaplanowanym terminie.</w:t>
            </w:r>
          </w:p>
          <w:p w14:paraId="7BCFEDB7" w14:textId="0303D83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C29DBDF" w14:textId="77777777" w:rsidTr="00EB7C6F">
        <w:tc>
          <w:tcPr>
            <w:tcW w:w="3001" w:type="dxa"/>
          </w:tcPr>
          <w:p w14:paraId="02830EA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Stosunkowo duży zakres zadań przy ograniczonym czasie realizacji.</w:t>
            </w:r>
          </w:p>
        </w:tc>
        <w:tc>
          <w:tcPr>
            <w:tcW w:w="1675" w:type="dxa"/>
          </w:tcPr>
          <w:p w14:paraId="78D5238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3C01716"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1B425DEB"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Precyzyjny harmonogram</w:t>
            </w:r>
          </w:p>
          <w:p w14:paraId="5C19B951"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Wyznaczenie częstych punktów kontrolnych</w:t>
            </w:r>
          </w:p>
          <w:p w14:paraId="61E73410"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Przeprowadzenie części prac analitycznych przez Doradcę</w:t>
            </w:r>
          </w:p>
          <w:p w14:paraId="7DC52945"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Wybór technologii zorientowanej na budowę z istniejących komponentów.</w:t>
            </w:r>
          </w:p>
          <w:p w14:paraId="372B0CE6" w14:textId="7930FBA6" w:rsidR="00DB0E63" w:rsidRPr="00FE2B73" w:rsidRDefault="00DB0E63" w:rsidP="00FE2B73">
            <w:pPr>
              <w:spacing w:before="60" w:after="60"/>
              <w:rPr>
                <w:rFonts w:ascii="Arial" w:eastAsia="Times New Roman" w:hAnsi="Arial" w:cs="Arial"/>
                <w:sz w:val="18"/>
                <w:szCs w:val="18"/>
              </w:rPr>
            </w:pPr>
            <w:r w:rsidRPr="00FE2B73">
              <w:rPr>
                <w:rFonts w:ascii="Arial" w:eastAsia="Times New Roman" w:hAnsi="Arial" w:cs="Arial"/>
                <w:sz w:val="18"/>
                <w:szCs w:val="18"/>
              </w:rPr>
              <w:t xml:space="preserve">Efektem będzie </w:t>
            </w:r>
            <w:r w:rsidR="00CB7C39" w:rsidRPr="00FE2B73">
              <w:rPr>
                <w:rFonts w:ascii="Arial" w:eastAsia="Times New Roman" w:hAnsi="Arial" w:cs="Arial"/>
                <w:sz w:val="18"/>
                <w:szCs w:val="18"/>
              </w:rPr>
              <w:t>efektywne wykorzystanie posiadanych zasobów ludzkich.</w:t>
            </w:r>
          </w:p>
          <w:p w14:paraId="0FCD25A5" w14:textId="1BF60C89" w:rsidR="00EB7C6F" w:rsidRPr="00E82429" w:rsidRDefault="00EB7C6F" w:rsidP="00EB7C6F">
            <w:pPr>
              <w:spacing w:before="60" w:after="60"/>
              <w:rPr>
                <w:rFonts w:ascii="Arial" w:hAnsi="Arial" w:cs="Arial"/>
                <w:sz w:val="18"/>
                <w:szCs w:val="18"/>
              </w:rPr>
            </w:pPr>
            <w:r w:rsidRPr="00E82429">
              <w:rPr>
                <w:rFonts w:ascii="Arial" w:eastAsia="Times New Roman" w:hAnsi="Arial" w:cs="Arial"/>
                <w:sz w:val="18"/>
                <w:szCs w:val="18"/>
              </w:rPr>
              <w:t>Ocena ryzyka  pozostaje na niezmienionym poziomie.</w:t>
            </w:r>
          </w:p>
        </w:tc>
      </w:tr>
      <w:tr w:rsidR="00EB7C6F" w:rsidRPr="002B50C0" w14:paraId="0B0BC569" w14:textId="77777777" w:rsidTr="00EB7C6F">
        <w:tc>
          <w:tcPr>
            <w:tcW w:w="3001" w:type="dxa"/>
          </w:tcPr>
          <w:p w14:paraId="7CE4C4F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zmian w zakresie funkcjonalności systemu, wymaganych w związku z wdrażanie nowych wymogów prawnych, co może skutkować zmianą zakresu systemu w trakcie realizacji Projektu a przez to prowadzić do opóźnień w jego realizacji</w:t>
            </w:r>
          </w:p>
        </w:tc>
        <w:tc>
          <w:tcPr>
            <w:tcW w:w="1675" w:type="dxa"/>
          </w:tcPr>
          <w:p w14:paraId="6F641D9A"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6ED084DE"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0863674" w14:textId="2C3D4EC1"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W razie potrzeby - uwzględnienie potrzeb związanych z przyszłym rozszerzeniem funkcjonalności w specyfikacji wymagań oraz/lub odnotowanie w umowie z Wykonawcą zobowiązania </w:t>
            </w:r>
            <w:r w:rsidR="00CB7C39">
              <w:rPr>
                <w:rFonts w:ascii="Arial" w:hAnsi="Arial" w:cs="Arial"/>
                <w:sz w:val="18"/>
                <w:szCs w:val="18"/>
              </w:rPr>
              <w:t>d</w:t>
            </w:r>
            <w:r w:rsidRPr="00914174">
              <w:rPr>
                <w:rFonts w:ascii="Arial" w:hAnsi="Arial" w:cs="Arial"/>
                <w:sz w:val="18"/>
                <w:szCs w:val="18"/>
              </w:rPr>
              <w:t>o wprowadzeni</w:t>
            </w:r>
            <w:r w:rsidR="00CB7C39">
              <w:rPr>
                <w:rFonts w:ascii="Arial" w:hAnsi="Arial" w:cs="Arial"/>
                <w:sz w:val="18"/>
                <w:szCs w:val="18"/>
              </w:rPr>
              <w:t>a</w:t>
            </w:r>
            <w:r w:rsidRPr="00914174">
              <w:rPr>
                <w:rFonts w:ascii="Arial" w:hAnsi="Arial" w:cs="Arial"/>
                <w:sz w:val="18"/>
                <w:szCs w:val="18"/>
              </w:rPr>
              <w:t xml:space="preserve"> zmian (zgodnie z procedurą zarządzania zmianą) wynikającej z nowych wymogów prawnych</w:t>
            </w:r>
            <w:r w:rsidR="00CB7C39">
              <w:rPr>
                <w:rFonts w:ascii="Arial" w:hAnsi="Arial" w:cs="Arial"/>
                <w:sz w:val="18"/>
                <w:szCs w:val="18"/>
              </w:rPr>
              <w:t xml:space="preserve"> oraz wykorzystania prawa opcji.</w:t>
            </w:r>
            <w:r>
              <w:rPr>
                <w:rFonts w:ascii="Arial" w:hAnsi="Arial" w:cs="Arial"/>
                <w:sz w:val="18"/>
                <w:szCs w:val="18"/>
              </w:rPr>
              <w:t>.</w:t>
            </w:r>
          </w:p>
          <w:p w14:paraId="02526F1E" w14:textId="5EA1E112" w:rsidR="00CB7C39" w:rsidRDefault="00CB7C39" w:rsidP="00EB7C6F">
            <w:pPr>
              <w:spacing w:before="60" w:after="60"/>
              <w:rPr>
                <w:rFonts w:ascii="Arial" w:hAnsi="Arial" w:cs="Arial"/>
                <w:sz w:val="18"/>
                <w:szCs w:val="18"/>
              </w:rPr>
            </w:pPr>
            <w:r>
              <w:rPr>
                <w:rFonts w:ascii="Arial" w:hAnsi="Arial" w:cs="Arial"/>
                <w:sz w:val="18"/>
                <w:szCs w:val="18"/>
              </w:rPr>
              <w:t>Efektem będzie możliwość zmian w systemie w sposób zapewniający ich wdrożenie bez opóźniania terminu wdrożenia systemu w jego pierwotnej wersji.</w:t>
            </w:r>
          </w:p>
          <w:p w14:paraId="47E3D915" w14:textId="68322F3A"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BAF28A9" w14:textId="77777777" w:rsidTr="00EB7C6F">
        <w:tc>
          <w:tcPr>
            <w:tcW w:w="3001" w:type="dxa"/>
          </w:tcPr>
          <w:p w14:paraId="5DA10B4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Ryzyko braku zabezpieczenia wystarczających środków na realizację projektu - czy to z perspektywy finansowej 2014-2020 czy też ze środków budżetowych</w:t>
            </w:r>
          </w:p>
        </w:tc>
        <w:tc>
          <w:tcPr>
            <w:tcW w:w="1675" w:type="dxa"/>
          </w:tcPr>
          <w:p w14:paraId="0639D31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7363292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3E2FF380" w14:textId="3BD46FF8" w:rsidR="00EB7C6F" w:rsidRDefault="00CB7C39" w:rsidP="00EB7C6F">
            <w:pPr>
              <w:spacing w:before="60" w:after="60"/>
              <w:rPr>
                <w:rFonts w:ascii="Arial" w:hAnsi="Arial" w:cs="Arial"/>
                <w:sz w:val="18"/>
                <w:szCs w:val="18"/>
              </w:rPr>
            </w:pPr>
            <w:r>
              <w:rPr>
                <w:rFonts w:ascii="Arial" w:hAnsi="Arial" w:cs="Arial"/>
                <w:sz w:val="18"/>
                <w:szCs w:val="18"/>
              </w:rPr>
              <w:t>Systematyczne planowanie środków w projektach budżetu na kolejne lata realizacji projektu.</w:t>
            </w:r>
          </w:p>
          <w:p w14:paraId="78A76755" w14:textId="1DB80FA9" w:rsidR="00CB7C39" w:rsidRDefault="00CB7C39" w:rsidP="00EB7C6F">
            <w:pPr>
              <w:spacing w:before="60" w:after="60"/>
              <w:rPr>
                <w:rFonts w:ascii="Arial" w:hAnsi="Arial" w:cs="Arial"/>
                <w:sz w:val="18"/>
                <w:szCs w:val="18"/>
              </w:rPr>
            </w:pPr>
            <w:r>
              <w:rPr>
                <w:rFonts w:ascii="Arial" w:hAnsi="Arial" w:cs="Arial"/>
                <w:sz w:val="18"/>
                <w:szCs w:val="18"/>
              </w:rPr>
              <w:t>Efektem jest pełne zabezpieczenie środków finansowych na realizację projektu.</w:t>
            </w:r>
          </w:p>
          <w:p w14:paraId="509D400E" w14:textId="6C97894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C55BC3B" w14:textId="77777777" w:rsidTr="00EB7C6F">
        <w:tc>
          <w:tcPr>
            <w:tcW w:w="3001" w:type="dxa"/>
          </w:tcPr>
          <w:p w14:paraId="49B7B17D"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zmian rynkowych związanych ze zmianami cen usług podczas realizacji Projektu, które mogą wpłynąć na koszt realizacji Projektu między innymi wzrost kosztów usług obcych, wzrost kosztów materiałów i energii, przekroczenie kosztów inwestycyjnych, wzrost wynagrodzeń, zmiana kursu walut itp.</w:t>
            </w:r>
          </w:p>
        </w:tc>
        <w:tc>
          <w:tcPr>
            <w:tcW w:w="1675" w:type="dxa"/>
          </w:tcPr>
          <w:p w14:paraId="2720D6F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31E2767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57E6FBA2" w14:textId="342FA22F" w:rsidR="00EB7C6F" w:rsidRDefault="00EB7C6F" w:rsidP="00EB7C6F">
            <w:pPr>
              <w:spacing w:before="60" w:after="60"/>
              <w:rPr>
                <w:rFonts w:ascii="Arial" w:hAnsi="Arial" w:cs="Arial"/>
                <w:sz w:val="18"/>
                <w:szCs w:val="18"/>
              </w:rPr>
            </w:pPr>
            <w:r w:rsidRPr="00914174">
              <w:rPr>
                <w:rFonts w:ascii="Arial" w:hAnsi="Arial" w:cs="Arial"/>
                <w:sz w:val="18"/>
                <w:szCs w:val="18"/>
              </w:rPr>
              <w:t>Dogłębna analiza związana z wszelkimi aspektami budowy i wdrożenia systemu. Ciągłe monitorowanie trendów rynkowych. Zabezpieczenie odpowiednich rezerw finansowych</w:t>
            </w:r>
            <w:r w:rsidR="00CB7C39">
              <w:rPr>
                <w:rFonts w:ascii="Arial" w:hAnsi="Arial" w:cs="Arial"/>
                <w:sz w:val="18"/>
                <w:szCs w:val="18"/>
              </w:rPr>
              <w:t>.</w:t>
            </w:r>
          </w:p>
          <w:p w14:paraId="5E566A0F" w14:textId="61B54711" w:rsidR="00CB7C39" w:rsidRDefault="00CB7C39" w:rsidP="00EB7C6F">
            <w:pPr>
              <w:spacing w:before="60" w:after="60"/>
              <w:rPr>
                <w:rFonts w:ascii="Arial" w:hAnsi="Arial" w:cs="Arial"/>
                <w:sz w:val="18"/>
                <w:szCs w:val="18"/>
              </w:rPr>
            </w:pPr>
            <w:r>
              <w:rPr>
                <w:rFonts w:ascii="Arial" w:hAnsi="Arial" w:cs="Arial"/>
                <w:sz w:val="18"/>
                <w:szCs w:val="18"/>
              </w:rPr>
              <w:t>Efektem będzie odpowiednio wczesne zidentyfikowanie ryzyka i wdrożenie środków zaradczych.</w:t>
            </w:r>
          </w:p>
          <w:p w14:paraId="5350583B" w14:textId="3119D82F"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16995729" w14:textId="77777777" w:rsidTr="00EB7C6F">
        <w:tc>
          <w:tcPr>
            <w:tcW w:w="3001" w:type="dxa"/>
          </w:tcPr>
          <w:p w14:paraId="1022F36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braku odpowiednich zasobów ludzkich po stronie Beneficjenta do nadzorowania i koordynowania przebiegu Projektu</w:t>
            </w:r>
          </w:p>
        </w:tc>
        <w:tc>
          <w:tcPr>
            <w:tcW w:w="1675" w:type="dxa"/>
          </w:tcPr>
          <w:p w14:paraId="27DFC92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F357D4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213833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Przydzielenie odpowiednich zasobów ludzkich do działań projektowych lub zapewnienie wsparcia przez zewnętrznych specjalistów. Odpowiednie pełnomocnictwa/uprawnienia dla Kierownika Projektu, pozwalające egzekwować od pracowników realizację nałożonych na nich obowiązków. System motywacyjny dla członków zespołu projektowego premiujący na zakończenie całego Projektu z sukcesem. Wprowadzenie regularnego raportowania dla kierownictwa projektu, ze wskazywaniem na opóźnienia w realizacji Projektu i jego przyczyny</w:t>
            </w:r>
            <w:r>
              <w:rPr>
                <w:rFonts w:ascii="Arial" w:hAnsi="Arial" w:cs="Arial"/>
                <w:sz w:val="18"/>
                <w:szCs w:val="18"/>
              </w:rPr>
              <w:t>.</w:t>
            </w:r>
          </w:p>
          <w:p w14:paraId="10B7358A" w14:textId="76C046D1" w:rsidR="00FE2B73" w:rsidRDefault="00FE2B73" w:rsidP="00EB7C6F">
            <w:pPr>
              <w:spacing w:before="60" w:after="60"/>
              <w:rPr>
                <w:rFonts w:ascii="Arial" w:hAnsi="Arial" w:cs="Arial"/>
                <w:sz w:val="18"/>
                <w:szCs w:val="18"/>
              </w:rPr>
            </w:pPr>
            <w:r>
              <w:rPr>
                <w:rFonts w:ascii="Arial" w:hAnsi="Arial" w:cs="Arial"/>
                <w:sz w:val="18"/>
                <w:szCs w:val="18"/>
              </w:rPr>
              <w:t>Efektem będzie zapewnienie odpowiednich osób o stosownych uprawnieniach.</w:t>
            </w:r>
          </w:p>
          <w:p w14:paraId="519D3223" w14:textId="29DC34B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9EE5296" w14:textId="77777777" w:rsidTr="00EB7C6F">
        <w:tc>
          <w:tcPr>
            <w:tcW w:w="3001" w:type="dxa"/>
          </w:tcPr>
          <w:p w14:paraId="13B18FB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Niewystarczająca ilość osób po stronie Zamawiającego do odbioru produktów wykonywanych przez Wykonawców kontraktów – ryzyko zbyt małej ilości osób przeznaczonych do obsługi projektu.</w:t>
            </w:r>
          </w:p>
        </w:tc>
        <w:tc>
          <w:tcPr>
            <w:tcW w:w="1675" w:type="dxa"/>
          </w:tcPr>
          <w:p w14:paraId="1DE2644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112EA02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44C2211A"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ilości osób potrzebnych do realizacji prac związanych z projektem i przekazanie ich obowiązków innym osobom. Przygotowanie listy rezerwowej osób, które mogą być (w razie potrzeby) szybko włączone w realizację projektu. Należy również pamiętać o przygotowaniu odpowiednich stanowisk pracy dla tych osób</w:t>
            </w:r>
            <w:r>
              <w:rPr>
                <w:rFonts w:ascii="Arial" w:hAnsi="Arial" w:cs="Arial"/>
                <w:sz w:val="18"/>
                <w:szCs w:val="18"/>
              </w:rPr>
              <w:t>.</w:t>
            </w:r>
          </w:p>
          <w:p w14:paraId="2E8EF1D7" w14:textId="0A51DA98" w:rsidR="00FE2B73" w:rsidRDefault="00FE2B73" w:rsidP="00EB7C6F">
            <w:pPr>
              <w:spacing w:before="60" w:after="60"/>
              <w:rPr>
                <w:rFonts w:ascii="Arial" w:hAnsi="Arial" w:cs="Arial"/>
                <w:sz w:val="18"/>
                <w:szCs w:val="18"/>
              </w:rPr>
            </w:pPr>
            <w:r>
              <w:rPr>
                <w:rFonts w:ascii="Arial" w:hAnsi="Arial" w:cs="Arial"/>
                <w:sz w:val="18"/>
                <w:szCs w:val="18"/>
              </w:rPr>
              <w:lastRenderedPageBreak/>
              <w:t>Efektem będzie zapewnienie osób o odpowiednich kwalifikacjach.</w:t>
            </w:r>
          </w:p>
          <w:p w14:paraId="667CB9BC" w14:textId="5F2CD5F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0BF798E7" w14:textId="77777777" w:rsidTr="00EB7C6F">
        <w:tc>
          <w:tcPr>
            <w:tcW w:w="3001" w:type="dxa"/>
          </w:tcPr>
          <w:p w14:paraId="26E336E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Zmiany w przepisach prawa mogą generować konieczność wprowadzenia zmian w wymaganiach / funkcjonalnościach systemu</w:t>
            </w:r>
          </w:p>
        </w:tc>
        <w:tc>
          <w:tcPr>
            <w:tcW w:w="1675" w:type="dxa"/>
          </w:tcPr>
          <w:p w14:paraId="75BE4A2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02ECAC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3E24FDD8" w14:textId="5ADB6DBC" w:rsidR="00EB7C6F" w:rsidRDefault="00EB7C6F" w:rsidP="00EB7C6F">
            <w:pPr>
              <w:spacing w:before="60" w:after="60"/>
              <w:rPr>
                <w:rFonts w:ascii="Arial" w:hAnsi="Arial" w:cs="Arial"/>
                <w:sz w:val="18"/>
                <w:szCs w:val="18"/>
              </w:rPr>
            </w:pPr>
            <w:r w:rsidRPr="00914174">
              <w:rPr>
                <w:rFonts w:ascii="Arial" w:hAnsi="Arial" w:cs="Arial"/>
                <w:sz w:val="18"/>
                <w:szCs w:val="18"/>
              </w:rPr>
              <w:t>Monitorowanie stanu prawnego. Zastosowanie zapisów umownych, zapewniających dostosowanie funkcjonalności systemu do zmian prawnych zachodzących w trakcie realizacji umowy, które mogłyby mieć wpływ na funkcjonalności systemu</w:t>
            </w:r>
            <w:r w:rsidR="00FE2B73">
              <w:rPr>
                <w:rFonts w:ascii="Arial" w:hAnsi="Arial" w:cs="Arial"/>
                <w:sz w:val="18"/>
                <w:szCs w:val="18"/>
              </w:rPr>
              <w:t xml:space="preserve"> (W tym prawo opcji)</w:t>
            </w:r>
            <w:r w:rsidRPr="00914174">
              <w:rPr>
                <w:rFonts w:ascii="Arial" w:hAnsi="Arial" w:cs="Arial"/>
                <w:sz w:val="18"/>
                <w:szCs w:val="18"/>
              </w:rPr>
              <w:t>.</w:t>
            </w:r>
          </w:p>
          <w:p w14:paraId="4969B723" w14:textId="34E84F52" w:rsidR="00FE2B73" w:rsidRDefault="00FE2B73" w:rsidP="00EB7C6F">
            <w:pPr>
              <w:spacing w:before="60" w:after="60"/>
              <w:rPr>
                <w:rFonts w:ascii="Arial" w:hAnsi="Arial" w:cs="Arial"/>
                <w:sz w:val="18"/>
                <w:szCs w:val="18"/>
              </w:rPr>
            </w:pPr>
            <w:r w:rsidRPr="00FE2B73">
              <w:rPr>
                <w:rFonts w:ascii="Arial" w:hAnsi="Arial" w:cs="Arial"/>
                <w:sz w:val="18"/>
                <w:szCs w:val="18"/>
              </w:rPr>
              <w:t>Efektem będzie możliwość zmian w systemie w sposób zapewniający ich wdrożenie bez opóźniania terminu wdrożenia systemu w jego pierwotnej wersji.</w:t>
            </w:r>
          </w:p>
          <w:p w14:paraId="2C2B15FF" w14:textId="546CA7ED"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1024AA6" w14:textId="77777777" w:rsidTr="00EB7C6F">
        <w:tc>
          <w:tcPr>
            <w:tcW w:w="3001" w:type="dxa"/>
          </w:tcPr>
          <w:p w14:paraId="34B1916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Niewystarczający potencjał i doświadczenie wykonawcy systemu, co może powodować dostarczenie produktów małej jakości</w:t>
            </w:r>
          </w:p>
        </w:tc>
        <w:tc>
          <w:tcPr>
            <w:tcW w:w="1675" w:type="dxa"/>
          </w:tcPr>
          <w:p w14:paraId="1B244B87"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5A72407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6C20584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 SIWZ zawarcie kryteriów formalnych na wybór podmiotu odpowiedzialnego za realizację zadania.</w:t>
            </w:r>
            <w:r w:rsidRPr="00914174">
              <w:rPr>
                <w:rFonts w:ascii="Arial" w:hAnsi="Arial" w:cs="Arial"/>
                <w:sz w:val="18"/>
                <w:szCs w:val="18"/>
              </w:rPr>
              <w:br/>
              <w:t>Poza ceną zastosowanie obligatoryjnego kryterium jakościowego w ocenie ofert.</w:t>
            </w:r>
          </w:p>
          <w:p w14:paraId="58D24749" w14:textId="622FA7B5" w:rsidR="00FE2B73" w:rsidRDefault="00FE2B73" w:rsidP="00EB7C6F">
            <w:pPr>
              <w:spacing w:before="60" w:after="60"/>
              <w:rPr>
                <w:rFonts w:ascii="Arial" w:hAnsi="Arial" w:cs="Arial"/>
                <w:sz w:val="18"/>
                <w:szCs w:val="18"/>
              </w:rPr>
            </w:pPr>
            <w:r>
              <w:rPr>
                <w:rFonts w:ascii="Arial" w:hAnsi="Arial" w:cs="Arial"/>
                <w:sz w:val="18"/>
                <w:szCs w:val="18"/>
              </w:rPr>
              <w:t>Efektem jest wybór wykonawcy systemu posiadającego odpowiedni potencjał do właściwego wykonania systemu.</w:t>
            </w:r>
          </w:p>
          <w:p w14:paraId="2FE721A4" w14:textId="2A358A4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EBF1B35" w14:textId="77777777" w:rsidTr="00EB7C6F">
        <w:tc>
          <w:tcPr>
            <w:tcW w:w="3001" w:type="dxa"/>
          </w:tcPr>
          <w:p w14:paraId="5FF6936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wystąpienia zdarzeń korupcyjnych</w:t>
            </w:r>
          </w:p>
        </w:tc>
        <w:tc>
          <w:tcPr>
            <w:tcW w:w="1675" w:type="dxa"/>
          </w:tcPr>
          <w:p w14:paraId="1180B8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122911B8"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C998899"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Wdrożenie polityki działań antykorupcyjnych</w:t>
            </w:r>
            <w:r>
              <w:rPr>
                <w:rFonts w:ascii="Arial" w:hAnsi="Arial" w:cs="Arial"/>
                <w:sz w:val="18"/>
                <w:szCs w:val="18"/>
              </w:rPr>
              <w:t>.</w:t>
            </w:r>
          </w:p>
          <w:p w14:paraId="7151424C" w14:textId="6D5F475D" w:rsidR="00FE2B73" w:rsidRDefault="00FE2B73" w:rsidP="00EB7C6F">
            <w:pPr>
              <w:spacing w:before="60" w:after="60"/>
              <w:rPr>
                <w:rFonts w:ascii="Arial" w:hAnsi="Arial" w:cs="Arial"/>
                <w:sz w:val="18"/>
                <w:szCs w:val="18"/>
              </w:rPr>
            </w:pPr>
            <w:r>
              <w:rPr>
                <w:rFonts w:ascii="Arial" w:hAnsi="Arial" w:cs="Arial"/>
                <w:sz w:val="18"/>
                <w:szCs w:val="18"/>
              </w:rPr>
              <w:t>Efektem będzie ograniczenie możliwości wystąpienia zdarzeń korupcyjnych.</w:t>
            </w:r>
          </w:p>
          <w:p w14:paraId="391A3DBC" w14:textId="5A5478F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228138C4" w14:textId="77777777" w:rsidTr="00EB7C6F">
        <w:tc>
          <w:tcPr>
            <w:tcW w:w="3001" w:type="dxa"/>
          </w:tcPr>
          <w:p w14:paraId="1BA794A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Przedłużające się prace nad dokumentacją przetargową skutkujące opóźnieniem w podpisaniu umowy z Wykonawcą Systemu</w:t>
            </w:r>
          </w:p>
        </w:tc>
        <w:tc>
          <w:tcPr>
            <w:tcW w:w="1675" w:type="dxa"/>
          </w:tcPr>
          <w:p w14:paraId="06FD7B6C"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457481A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wysokie</w:t>
            </w:r>
          </w:p>
        </w:tc>
        <w:tc>
          <w:tcPr>
            <w:tcW w:w="2528" w:type="dxa"/>
          </w:tcPr>
          <w:p w14:paraId="219FA078"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Intensywna współpraca Zespołu projektowego z Biurem Logistyki MF</w:t>
            </w:r>
            <w:r>
              <w:rPr>
                <w:rFonts w:ascii="Arial" w:hAnsi="Arial" w:cs="Arial"/>
                <w:sz w:val="18"/>
                <w:szCs w:val="18"/>
              </w:rPr>
              <w:t>.</w:t>
            </w:r>
          </w:p>
          <w:p w14:paraId="11B0C424" w14:textId="186514D0" w:rsidR="00FE2B73" w:rsidRDefault="00FE2B73" w:rsidP="00EB7C6F">
            <w:pPr>
              <w:spacing w:before="60" w:after="60"/>
              <w:rPr>
                <w:rFonts w:ascii="Arial" w:hAnsi="Arial" w:cs="Arial"/>
                <w:sz w:val="18"/>
                <w:szCs w:val="18"/>
              </w:rPr>
            </w:pPr>
            <w:r>
              <w:rPr>
                <w:rFonts w:ascii="Arial" w:hAnsi="Arial" w:cs="Arial"/>
                <w:sz w:val="18"/>
                <w:szCs w:val="18"/>
              </w:rPr>
              <w:t>Efektem jest zakończenie prac nad dokumentacją przetargową w terminie pozwalającym na terminowe wdrożenie systemu.</w:t>
            </w:r>
          </w:p>
          <w:p w14:paraId="03DBCE2D" w14:textId="537C9FA9" w:rsidR="00EB7C6F" w:rsidRPr="00914174" w:rsidRDefault="00EB7C6F" w:rsidP="00EB7C6F">
            <w:pPr>
              <w:spacing w:before="60" w:after="60"/>
              <w:rPr>
                <w:rFonts w:ascii="Arial" w:hAnsi="Arial" w:cs="Arial"/>
                <w:sz w:val="18"/>
                <w:szCs w:val="18"/>
              </w:rPr>
            </w:pPr>
            <w:r>
              <w:rPr>
                <w:rFonts w:ascii="Arial" w:hAnsi="Arial" w:cs="Arial"/>
                <w:sz w:val="18"/>
                <w:szCs w:val="18"/>
              </w:rPr>
              <w:t xml:space="preserve">Z uwagi na zakończenie postępowań przetargowych nastąpiła </w:t>
            </w:r>
            <w:r w:rsidRPr="00E82429">
              <w:rPr>
                <w:rFonts w:ascii="Arial" w:hAnsi="Arial" w:cs="Arial"/>
                <w:sz w:val="18"/>
                <w:szCs w:val="18"/>
              </w:rPr>
              <w:t>zmiana w zakresie danego ryzyka w stosunku do po-przedniego okresu sprawozdawczego - „ryzyko zamknięte”</w:t>
            </w:r>
          </w:p>
        </w:tc>
      </w:tr>
    </w:tbl>
    <w:p w14:paraId="602B0C9F" w14:textId="4516ECAB" w:rsidR="00141A92" w:rsidRDefault="00EB7C6F" w:rsidP="00141A92">
      <w:pPr>
        <w:spacing w:before="240" w:after="120"/>
        <w:rPr>
          <w:rFonts w:ascii="Arial" w:hAnsi="Arial" w:cs="Arial"/>
          <w:b/>
          <w:sz w:val="20"/>
          <w:szCs w:val="20"/>
        </w:rPr>
      </w:pPr>
      <w:r>
        <w:rPr>
          <w:rFonts w:ascii="Arial" w:hAnsi="Arial" w:cs="Arial"/>
          <w:b/>
          <w:sz w:val="20"/>
          <w:szCs w:val="20"/>
        </w:rPr>
        <w:lastRenderedPageBreak/>
        <w:br w:type="textWrapping" w:clear="all"/>
      </w: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3261"/>
        <w:gridCol w:w="1701"/>
        <w:gridCol w:w="2125"/>
        <w:gridCol w:w="2693"/>
      </w:tblGrid>
      <w:tr w:rsidR="00EB7C6F" w:rsidRPr="00EB7C6F" w14:paraId="12FEE5E8" w14:textId="77777777" w:rsidTr="008F6625">
        <w:trPr>
          <w:trHeight w:val="724"/>
        </w:trPr>
        <w:tc>
          <w:tcPr>
            <w:tcW w:w="3261" w:type="dxa"/>
            <w:shd w:val="clear" w:color="auto" w:fill="D9D9D9" w:themeFill="background1" w:themeFillShade="D9"/>
            <w:vAlign w:val="center"/>
          </w:tcPr>
          <w:p w14:paraId="7BEBAAAB" w14:textId="77777777" w:rsidR="00EB7C6F" w:rsidRPr="00EB7C6F" w:rsidRDefault="00EB7C6F" w:rsidP="00EB7C6F">
            <w:pPr>
              <w:spacing w:before="60" w:after="60" w:line="240" w:lineRule="auto"/>
              <w:jc w:val="center"/>
              <w:rPr>
                <w:rFonts w:ascii="Arial" w:eastAsia="MS MinNew Roman" w:hAnsi="Arial" w:cs="Arial"/>
                <w:b/>
                <w:bCs/>
                <w:sz w:val="20"/>
                <w:lang w:eastAsia="pl-PL"/>
              </w:rPr>
            </w:pPr>
            <w:r w:rsidRPr="00EB7C6F">
              <w:rPr>
                <w:rFonts w:ascii="Arial" w:eastAsia="MS MinNew Roman" w:hAnsi="Arial" w:cs="Arial"/>
                <w:b/>
                <w:bCs/>
                <w:sz w:val="20"/>
                <w:lang w:eastAsia="pl-PL"/>
              </w:rPr>
              <w:t>Nazwa ryzyka</w:t>
            </w:r>
          </w:p>
        </w:tc>
        <w:tc>
          <w:tcPr>
            <w:tcW w:w="1701" w:type="dxa"/>
            <w:shd w:val="clear" w:color="auto" w:fill="D9D9D9" w:themeFill="background1" w:themeFillShade="D9"/>
            <w:vAlign w:val="center"/>
          </w:tcPr>
          <w:p w14:paraId="1AFF6CF7"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Siła oddziaływania</w:t>
            </w:r>
          </w:p>
        </w:tc>
        <w:tc>
          <w:tcPr>
            <w:tcW w:w="2125" w:type="dxa"/>
            <w:shd w:val="clear" w:color="auto" w:fill="D9D9D9" w:themeFill="background1" w:themeFillShade="D9"/>
          </w:tcPr>
          <w:p w14:paraId="54040989"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kern w:val="1"/>
                <w:sz w:val="20"/>
                <w:szCs w:val="20"/>
              </w:rPr>
            </w:pPr>
            <w:r w:rsidRPr="00EB7C6F">
              <w:rPr>
                <w:rFonts w:ascii="Arial" w:eastAsia="Arial Unicode MS" w:hAnsi="Arial" w:cs="Arial"/>
                <w:b/>
                <w:bCs/>
                <w:kern w:val="1"/>
                <w:sz w:val="20"/>
                <w:szCs w:val="20"/>
              </w:rPr>
              <w:t>Prawdopodobieństwo wystąpienia ryzyka</w:t>
            </w:r>
          </w:p>
        </w:tc>
        <w:tc>
          <w:tcPr>
            <w:tcW w:w="2693" w:type="dxa"/>
            <w:shd w:val="clear" w:color="auto" w:fill="D9D9D9" w:themeFill="background1" w:themeFillShade="D9"/>
            <w:vAlign w:val="center"/>
          </w:tcPr>
          <w:p w14:paraId="39EEA363"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Sposób zarzadzania ryzykiem</w:t>
            </w:r>
          </w:p>
        </w:tc>
      </w:tr>
      <w:tr w:rsidR="00EB7C6F" w:rsidRPr="00EB7C6F" w14:paraId="6E4BF0A8" w14:textId="77777777" w:rsidTr="008F6625">
        <w:trPr>
          <w:trHeight w:val="724"/>
        </w:trPr>
        <w:tc>
          <w:tcPr>
            <w:tcW w:w="3261" w:type="dxa"/>
            <w:shd w:val="clear" w:color="auto" w:fill="auto"/>
          </w:tcPr>
          <w:p w14:paraId="57C6C00F" w14:textId="77777777" w:rsidR="00EB7C6F" w:rsidRPr="00EB7C6F" w:rsidRDefault="00EB7C6F" w:rsidP="00EB7C6F">
            <w:pPr>
              <w:spacing w:before="60" w:after="60" w:line="240" w:lineRule="auto"/>
              <w:jc w:val="both"/>
              <w:rPr>
                <w:rFonts w:ascii="Arial" w:eastAsia="Yu Mincho" w:hAnsi="Arial" w:cs="Arial"/>
                <w:color w:val="0070C0"/>
                <w:sz w:val="18"/>
                <w:szCs w:val="18"/>
                <w:lang w:eastAsia="pl-PL"/>
              </w:rPr>
            </w:pPr>
            <w:r w:rsidRPr="00EB7C6F">
              <w:rPr>
                <w:rFonts w:ascii="Arial" w:eastAsia="Yu Mincho" w:hAnsi="Arial" w:cs="Arial"/>
                <w:sz w:val="18"/>
                <w:szCs w:val="18"/>
                <w:lang w:eastAsia="pl-PL"/>
              </w:rPr>
              <w:t>Ryzyko braku zabezpieczenia środków finansowych na utrzymanie systemu po jego wdrożeniu</w:t>
            </w:r>
          </w:p>
        </w:tc>
        <w:tc>
          <w:tcPr>
            <w:tcW w:w="1701" w:type="dxa"/>
            <w:shd w:val="clear" w:color="auto" w:fill="FFFFFF"/>
          </w:tcPr>
          <w:p w14:paraId="7EC2E3ED"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średnia</w:t>
            </w:r>
          </w:p>
        </w:tc>
        <w:tc>
          <w:tcPr>
            <w:tcW w:w="2125" w:type="dxa"/>
            <w:shd w:val="clear" w:color="auto" w:fill="FFFFFF"/>
          </w:tcPr>
          <w:p w14:paraId="15AEEB31" w14:textId="59DDDD7D"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w:t>
            </w:r>
            <w:r w:rsidR="00431F87">
              <w:rPr>
                <w:rFonts w:ascii="Arial" w:eastAsia="Yu Mincho" w:hAnsi="Arial" w:cs="Arial"/>
                <w:sz w:val="18"/>
                <w:szCs w:val="18"/>
                <w:lang w:eastAsia="pl-PL"/>
              </w:rPr>
              <w:t>e</w:t>
            </w:r>
          </w:p>
        </w:tc>
        <w:tc>
          <w:tcPr>
            <w:tcW w:w="2693" w:type="dxa"/>
            <w:shd w:val="clear" w:color="auto" w:fill="FFFFFF"/>
          </w:tcPr>
          <w:p w14:paraId="72818672"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Analiza kosztów utrzymania systemu i zabezpieczenie odpowiednich środków w budżecie Beneficjenta.</w:t>
            </w:r>
          </w:p>
          <w:p w14:paraId="6E0FC6D6" w14:textId="77777777" w:rsidR="00EB7C6F" w:rsidRPr="00EB7C6F" w:rsidRDefault="00EB7C6F" w:rsidP="00EB7C6F">
            <w:pPr>
              <w:spacing w:before="60" w:after="60" w:line="240" w:lineRule="auto"/>
              <w:jc w:val="both"/>
              <w:rPr>
                <w:rFonts w:ascii="Arial" w:eastAsia="Times New Roman" w:hAnsi="Arial" w:cs="Arial"/>
                <w:b/>
                <w:bCs/>
                <w:color w:val="0070C0"/>
                <w:sz w:val="18"/>
                <w:szCs w:val="18"/>
                <w:lang w:eastAsia="pl-PL"/>
              </w:rPr>
            </w:pPr>
            <w:r w:rsidRPr="00EB7C6F">
              <w:rPr>
                <w:rFonts w:ascii="Arial" w:eastAsia="Yu Mincho" w:hAnsi="Arial" w:cs="Arial"/>
                <w:sz w:val="18"/>
                <w:szCs w:val="18"/>
                <w:lang w:eastAsia="pl-PL"/>
              </w:rPr>
              <w:t>Ocena ryzyka  pozostaje na niezmienionym poziomie</w:t>
            </w:r>
          </w:p>
        </w:tc>
      </w:tr>
      <w:tr w:rsidR="00EB7C6F" w:rsidRPr="00EB7C6F" w14:paraId="3FBDB197" w14:textId="77777777" w:rsidTr="008F6625">
        <w:trPr>
          <w:trHeight w:val="724"/>
        </w:trPr>
        <w:tc>
          <w:tcPr>
            <w:tcW w:w="3261" w:type="dxa"/>
            <w:shd w:val="clear" w:color="auto" w:fill="auto"/>
          </w:tcPr>
          <w:p w14:paraId="725C530A"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Brak wykwalifikowanego zespołu do utrzymania systemu</w:t>
            </w:r>
          </w:p>
        </w:tc>
        <w:tc>
          <w:tcPr>
            <w:tcW w:w="1701" w:type="dxa"/>
            <w:shd w:val="clear" w:color="auto" w:fill="FFFFFF"/>
          </w:tcPr>
          <w:p w14:paraId="5AEAAA2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shd w:val="clear" w:color="auto" w:fill="FFFFFF"/>
          </w:tcPr>
          <w:p w14:paraId="778DABCC"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małe</w:t>
            </w:r>
          </w:p>
        </w:tc>
        <w:tc>
          <w:tcPr>
            <w:tcW w:w="2693" w:type="dxa"/>
            <w:shd w:val="clear" w:color="auto" w:fill="FFFFFF"/>
          </w:tcPr>
          <w:p w14:paraId="11049BF6" w14:textId="77777777" w:rsidR="00EB7C6F" w:rsidRPr="00EB7C6F" w:rsidRDefault="00EB7C6F" w:rsidP="00EB7C6F">
            <w:pPr>
              <w:widowControl w:val="0"/>
              <w:suppressAutoHyphens/>
              <w:spacing w:before="60" w:after="60" w:line="240" w:lineRule="auto"/>
              <w:rPr>
                <w:rFonts w:ascii="Arial" w:eastAsia="Times New Roman" w:hAnsi="Arial" w:cs="Arial"/>
                <w:sz w:val="18"/>
                <w:szCs w:val="18"/>
                <w:lang w:eastAsia="pl-PL"/>
              </w:rPr>
            </w:pPr>
            <w:r w:rsidRPr="00EB7C6F">
              <w:rPr>
                <w:rFonts w:ascii="Arial" w:eastAsia="Times New Roman" w:hAnsi="Arial" w:cs="Arial"/>
                <w:sz w:val="18"/>
                <w:szCs w:val="18"/>
                <w:lang w:eastAsia="pl-PL"/>
              </w:rPr>
              <w:t>Utrzymanie pracowników poprzez zapewnienie rozwoju zawodowego.</w:t>
            </w:r>
          </w:p>
          <w:p w14:paraId="78DFE0BD" w14:textId="77777777" w:rsidR="00EB7C6F" w:rsidRPr="00EB7C6F" w:rsidRDefault="00EB7C6F" w:rsidP="00EB7C6F">
            <w:pPr>
              <w:spacing w:before="60" w:after="60" w:line="240" w:lineRule="auto"/>
              <w:jc w:val="both"/>
              <w:rPr>
                <w:rFonts w:ascii="Calibri" w:eastAsia="Yu Mincho" w:hAnsi="Calibri" w:cs="Calibri"/>
                <w:lang w:eastAsia="pl-PL"/>
              </w:rPr>
            </w:pPr>
            <w:r w:rsidRPr="00EB7C6F">
              <w:rPr>
                <w:rFonts w:ascii="Arial" w:eastAsia="Yu Mincho" w:hAnsi="Arial" w:cs="Arial"/>
                <w:sz w:val="18"/>
                <w:szCs w:val="18"/>
                <w:lang w:eastAsia="pl-PL"/>
              </w:rPr>
              <w:t>Ocena ryzyka  pozostaje na niezmienionym poziomie</w:t>
            </w:r>
          </w:p>
        </w:tc>
      </w:tr>
      <w:tr w:rsidR="00EB7C6F" w:rsidRPr="00EB7C6F" w14:paraId="7A82736B" w14:textId="77777777" w:rsidTr="008F6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tcPr>
          <w:p w14:paraId="6B52BC4E"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Ryzyko związane z utratą trwałości projektu po zakończeniu okresu obowiązkowej 5-letniej trwałości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00EDCFE"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14:paraId="3540E267"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znikome</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53A5300"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Przygotowanie i wdrożenie skutecznej formuły organizacyjnej i prawnej zapewniającej utrzymanie i zarządzanie systemem w przyjętych ramach budżetowych (i terminie związania umową o dofinansowanie) oraz uzgodnienie stabilnych źródeł utrzymania systemu po upływie okresu trwałości. Zapewnienie środków na eksploatację systemu. Ubezpieczenie środków trwałych w niezbędnym zakresie.</w:t>
            </w:r>
          </w:p>
          <w:p w14:paraId="798EE8B5" w14:textId="77777777" w:rsidR="00EB7C6F" w:rsidRPr="00EB7C6F" w:rsidRDefault="00EB7C6F" w:rsidP="00EB7C6F">
            <w:pPr>
              <w:spacing w:before="60" w:after="60" w:line="240" w:lineRule="auto"/>
              <w:jc w:val="both"/>
              <w:rPr>
                <w:rFonts w:ascii="Arial" w:eastAsia="Times New Roman" w:hAnsi="Arial" w:cs="Arial"/>
                <w:sz w:val="18"/>
                <w:szCs w:val="18"/>
                <w:lang w:eastAsia="pl-PL"/>
              </w:rPr>
            </w:pPr>
            <w:r w:rsidRPr="00EB7C6F">
              <w:rPr>
                <w:rFonts w:ascii="Arial" w:eastAsia="Yu Mincho" w:hAnsi="Arial" w:cs="Arial"/>
                <w:sz w:val="18"/>
                <w:szCs w:val="18"/>
                <w:lang w:eastAsia="pl-PL"/>
              </w:rPr>
              <w:t>Ocena ryzyka  pozostaje na niezmienionym poziomie</w:t>
            </w:r>
            <w:r w:rsidRPr="00EB7C6F">
              <w:rPr>
                <w:rFonts w:ascii="Calibri" w:eastAsia="Yu Mincho" w:hAnsi="Calibri" w:cs="Calibri"/>
                <w:lang w:eastAsia="pl-PL"/>
              </w:rPr>
              <w:t>.</w:t>
            </w:r>
          </w:p>
        </w:tc>
      </w:tr>
    </w:tbl>
    <w:p w14:paraId="18814321" w14:textId="77777777" w:rsidR="00EB7C6F" w:rsidRDefault="00EB7C6F" w:rsidP="00141A92">
      <w:pPr>
        <w:spacing w:before="240" w:after="120"/>
        <w:rPr>
          <w:rFonts w:ascii="Arial" w:hAnsi="Arial" w:cs="Arial"/>
          <w:b/>
          <w:sz w:val="20"/>
          <w:szCs w:val="20"/>
        </w:rPr>
      </w:pPr>
    </w:p>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3FE5242E"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 xml:space="preserve">Nie dotyczy </w:t>
      </w:r>
      <w:r w:rsidR="0000292B">
        <w:rPr>
          <w:rStyle w:val="Nagwek2Znak"/>
          <w:rFonts w:ascii="Arial" w:eastAsiaTheme="minorHAnsi" w:hAnsi="Arial" w:cs="Arial"/>
          <w:color w:val="auto"/>
          <w:sz w:val="22"/>
          <w:szCs w:val="22"/>
        </w:rPr>
        <w:t xml:space="preserve">– </w:t>
      </w:r>
      <w:r w:rsidR="00B0622A" w:rsidRPr="00B0622A">
        <w:rPr>
          <w:rStyle w:val="Nagwek2Znak"/>
          <w:rFonts w:ascii="Arial" w:eastAsiaTheme="minorHAnsi" w:hAnsi="Arial" w:cs="Arial"/>
          <w:color w:val="auto"/>
          <w:sz w:val="22"/>
          <w:szCs w:val="22"/>
        </w:rPr>
        <w:t xml:space="preserve">udzielone zamówienie publiczne na system informatyczny </w:t>
      </w:r>
      <w:r w:rsidR="0004687F">
        <w:rPr>
          <w:rStyle w:val="Nagwek2Znak"/>
          <w:rFonts w:ascii="Arial" w:eastAsiaTheme="minorHAnsi" w:hAnsi="Arial" w:cs="Arial"/>
          <w:color w:val="auto"/>
          <w:sz w:val="22"/>
          <w:szCs w:val="22"/>
        </w:rPr>
        <w:t>w zakresie b</w:t>
      </w:r>
      <w:r w:rsidR="00B0622A">
        <w:rPr>
          <w:rStyle w:val="Nagwek2Znak"/>
          <w:rFonts w:ascii="Arial" w:eastAsiaTheme="minorHAnsi" w:hAnsi="Arial" w:cs="Arial"/>
          <w:color w:val="auto"/>
          <w:sz w:val="22"/>
          <w:szCs w:val="22"/>
        </w:rPr>
        <w:t>ud</w:t>
      </w:r>
      <w:r w:rsidR="0004687F">
        <w:rPr>
          <w:rStyle w:val="Nagwek2Znak"/>
          <w:rFonts w:ascii="Arial" w:eastAsiaTheme="minorHAnsi" w:hAnsi="Arial" w:cs="Arial"/>
          <w:color w:val="auto"/>
          <w:sz w:val="22"/>
          <w:szCs w:val="22"/>
        </w:rPr>
        <w:t xml:space="preserve">owy oprogramowania wynosi </w:t>
      </w:r>
      <w:r w:rsidR="00B0622A">
        <w:rPr>
          <w:rStyle w:val="Nagwek2Znak"/>
          <w:rFonts w:ascii="Arial" w:eastAsiaTheme="minorHAnsi" w:hAnsi="Arial" w:cs="Arial"/>
          <w:color w:val="auto"/>
          <w:sz w:val="22"/>
          <w:szCs w:val="22"/>
        </w:rPr>
        <w:t>4</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750</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875</w:t>
      </w:r>
      <w:r w:rsidR="0004687F" w:rsidRPr="0004687F">
        <w:rPr>
          <w:rStyle w:val="Nagwek2Znak"/>
          <w:rFonts w:ascii="Arial" w:eastAsiaTheme="minorHAnsi" w:hAnsi="Arial" w:cs="Arial"/>
          <w:color w:val="auto"/>
          <w:sz w:val="22"/>
          <w:szCs w:val="22"/>
        </w:rPr>
        <w:t>,</w:t>
      </w:r>
      <w:r w:rsidR="00B0622A">
        <w:rPr>
          <w:rStyle w:val="Nagwek2Znak"/>
          <w:rFonts w:ascii="Arial" w:eastAsiaTheme="minorHAnsi" w:hAnsi="Arial" w:cs="Arial"/>
          <w:color w:val="auto"/>
          <w:sz w:val="22"/>
          <w:szCs w:val="22"/>
        </w:rPr>
        <w:t>00</w:t>
      </w:r>
      <w:r w:rsidR="0004687F">
        <w:rPr>
          <w:rStyle w:val="Nagwek2Znak"/>
          <w:rFonts w:ascii="Arial" w:eastAsiaTheme="minorHAnsi" w:hAnsi="Arial" w:cs="Arial"/>
          <w:color w:val="auto"/>
          <w:sz w:val="22"/>
          <w:szCs w:val="22"/>
        </w:rPr>
        <w:t> zł czyli nie przekracza 10 mln zł.</w:t>
      </w:r>
      <w:r w:rsidR="0004687F" w:rsidRPr="009B6B94">
        <w:rPr>
          <w:rFonts w:ascii="Arial" w:eastAsia="Times New Roman" w:hAnsi="Arial" w:cs="Arial"/>
          <w:color w:val="0070C0"/>
          <w:sz w:val="18"/>
          <w:szCs w:val="18"/>
          <w:lang w:eastAsia="pl-PL"/>
        </w:rPr>
        <w:t xml:space="preserve"> </w:t>
      </w:r>
    </w:p>
    <w:p w14:paraId="19521D92" w14:textId="74A6A374" w:rsidR="00A23E05" w:rsidRPr="00E741CD" w:rsidRDefault="00BB059E" w:rsidP="00EA2F98">
      <w:pPr>
        <w:pStyle w:val="Akapitzlist"/>
        <w:numPr>
          <w:ilvl w:val="0"/>
          <w:numId w:val="19"/>
        </w:numPr>
        <w:spacing w:before="360"/>
        <w:ind w:left="357" w:hanging="357"/>
        <w:contextualSpacing w:val="0"/>
        <w:jc w:val="both"/>
        <w:rPr>
          <w:rFonts w:ascii="Arial" w:hAnsi="Arial" w:cs="Arial"/>
          <w:color w:val="0070C0"/>
        </w:rPr>
      </w:pPr>
      <w:r w:rsidRPr="00141A92">
        <w:rPr>
          <w:rStyle w:val="Nagwek2Znak"/>
          <w:rFonts w:ascii="Arial" w:hAnsi="Arial" w:cs="Arial"/>
          <w:b/>
          <w:color w:val="auto"/>
          <w:sz w:val="24"/>
          <w:szCs w:val="24"/>
        </w:rPr>
        <w:t xml:space="preserve">Dane </w:t>
      </w:r>
      <w:r w:rsidRPr="00EA2F98">
        <w:rPr>
          <w:rStyle w:val="Nagwek2Znak"/>
          <w:rFonts w:ascii="Arial" w:eastAsiaTheme="minorHAnsi" w:hAnsi="Arial" w:cs="Arial"/>
          <w:b/>
          <w:color w:val="auto"/>
          <w:sz w:val="24"/>
          <w:szCs w:val="24"/>
        </w:rPr>
        <w:t>ko</w:t>
      </w:r>
      <w:r w:rsidRPr="0004687F">
        <w:rPr>
          <w:rStyle w:val="Nagwek2Znak"/>
          <w:rFonts w:ascii="Arial" w:eastAsiaTheme="minorHAnsi" w:hAnsi="Arial" w:cs="Arial"/>
          <w:b/>
          <w:color w:val="auto"/>
          <w:sz w:val="24"/>
          <w:szCs w:val="24"/>
        </w:rPr>
        <w:t>ntaktowe</w:t>
      </w:r>
      <w:r w:rsidRPr="00141A92">
        <w:rPr>
          <w:rStyle w:val="Nagwek2Znak"/>
          <w:rFonts w:ascii="Arial" w:hAnsi="Arial" w:cs="Arial"/>
          <w:b/>
          <w:color w:val="auto"/>
          <w:sz w:val="24"/>
          <w:szCs w:val="24"/>
        </w:rPr>
        <w:t>:</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5ACC80B6" w14:textId="38AC91CB" w:rsidR="00A92887" w:rsidRPr="00A92887" w:rsidRDefault="00A92887">
      <w:pPr>
        <w:spacing w:after="0"/>
        <w:jc w:val="both"/>
        <w:rPr>
          <w:rFonts w:ascii="Arial" w:hAnsi="Arial" w:cs="Arial"/>
        </w:rPr>
      </w:pP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23BB7107"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F207B">
              <w:rPr>
                <w:b/>
                <w:bCs/>
                <w:noProof/>
              </w:rPr>
              <w:t>2</w:t>
            </w:r>
            <w:r>
              <w:rPr>
                <w:b/>
                <w:bCs/>
                <w:sz w:val="24"/>
                <w:szCs w:val="24"/>
              </w:rPr>
              <w:fldChar w:fldCharType="end"/>
            </w:r>
            <w:r>
              <w:t xml:space="preserve"> z </w:t>
            </w:r>
            <w:r w:rsidR="00431F87">
              <w:rPr>
                <w:b/>
                <w:bCs/>
                <w:noProof/>
              </w:rPr>
              <w:t>11</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B6696F"/>
    <w:multiLevelType w:val="hybridMultilevel"/>
    <w:tmpl w:val="375C1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8"/>
  </w:num>
  <w:num w:numId="10">
    <w:abstractNumId w:val="5"/>
  </w:num>
  <w:num w:numId="11">
    <w:abstractNumId w:val="6"/>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efaultTabStop w:val="708"/>
  <w:autoHyphenation/>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92B"/>
    <w:rsid w:val="00003CB0"/>
    <w:rsid w:val="00006E59"/>
    <w:rsid w:val="00014699"/>
    <w:rsid w:val="00043DD9"/>
    <w:rsid w:val="00044D68"/>
    <w:rsid w:val="0004687F"/>
    <w:rsid w:val="00047D9D"/>
    <w:rsid w:val="0006403E"/>
    <w:rsid w:val="000657C9"/>
    <w:rsid w:val="00070663"/>
    <w:rsid w:val="00071880"/>
    <w:rsid w:val="00081E69"/>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1F87"/>
    <w:rsid w:val="004350B8"/>
    <w:rsid w:val="00444AAB"/>
    <w:rsid w:val="00450089"/>
    <w:rsid w:val="004729D1"/>
    <w:rsid w:val="00480F7B"/>
    <w:rsid w:val="00490C24"/>
    <w:rsid w:val="004C1D48"/>
    <w:rsid w:val="004D65CA"/>
    <w:rsid w:val="004E2910"/>
    <w:rsid w:val="004F6E89"/>
    <w:rsid w:val="005076A1"/>
    <w:rsid w:val="00513213"/>
    <w:rsid w:val="00517F12"/>
    <w:rsid w:val="0052102C"/>
    <w:rsid w:val="005212C8"/>
    <w:rsid w:val="00524E6C"/>
    <w:rsid w:val="005332D6"/>
    <w:rsid w:val="0054384F"/>
    <w:rsid w:val="00544DFE"/>
    <w:rsid w:val="005548F2"/>
    <w:rsid w:val="005734CE"/>
    <w:rsid w:val="005840AB"/>
    <w:rsid w:val="00586664"/>
    <w:rsid w:val="00593290"/>
    <w:rsid w:val="005A0E33"/>
    <w:rsid w:val="005A12F7"/>
    <w:rsid w:val="005A1B30"/>
    <w:rsid w:val="005B1A32"/>
    <w:rsid w:val="005C0469"/>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5E75"/>
    <w:rsid w:val="00647B96"/>
    <w:rsid w:val="00647E09"/>
    <w:rsid w:val="00661A62"/>
    <w:rsid w:val="00663945"/>
    <w:rsid w:val="006731D9"/>
    <w:rsid w:val="006822BC"/>
    <w:rsid w:val="006948D3"/>
    <w:rsid w:val="006A60AA"/>
    <w:rsid w:val="006B034F"/>
    <w:rsid w:val="006B1380"/>
    <w:rsid w:val="006B393F"/>
    <w:rsid w:val="006B5117"/>
    <w:rsid w:val="006C78AE"/>
    <w:rsid w:val="006E04D9"/>
    <w:rsid w:val="006E0CFA"/>
    <w:rsid w:val="006E6205"/>
    <w:rsid w:val="00701800"/>
    <w:rsid w:val="00723736"/>
    <w:rsid w:val="00725708"/>
    <w:rsid w:val="00740A47"/>
    <w:rsid w:val="00746ABD"/>
    <w:rsid w:val="00747E6D"/>
    <w:rsid w:val="00764D51"/>
    <w:rsid w:val="0077418F"/>
    <w:rsid w:val="00775C44"/>
    <w:rsid w:val="00776802"/>
    <w:rsid w:val="00784C2A"/>
    <w:rsid w:val="007924CE"/>
    <w:rsid w:val="00795AFA"/>
    <w:rsid w:val="007A3481"/>
    <w:rsid w:val="007A4742"/>
    <w:rsid w:val="007B0251"/>
    <w:rsid w:val="007C2F7E"/>
    <w:rsid w:val="007C6235"/>
    <w:rsid w:val="007C70D1"/>
    <w:rsid w:val="007D1990"/>
    <w:rsid w:val="007D2C34"/>
    <w:rsid w:val="007D38BD"/>
    <w:rsid w:val="007D3F21"/>
    <w:rsid w:val="007D538E"/>
    <w:rsid w:val="007E1072"/>
    <w:rsid w:val="007E341A"/>
    <w:rsid w:val="007F126F"/>
    <w:rsid w:val="00803FBE"/>
    <w:rsid w:val="00805178"/>
    <w:rsid w:val="00806134"/>
    <w:rsid w:val="00813357"/>
    <w:rsid w:val="00830B70"/>
    <w:rsid w:val="00840749"/>
    <w:rsid w:val="00865BD6"/>
    <w:rsid w:val="00866716"/>
    <w:rsid w:val="0087452F"/>
    <w:rsid w:val="00875528"/>
    <w:rsid w:val="0087770F"/>
    <w:rsid w:val="00884686"/>
    <w:rsid w:val="008A332F"/>
    <w:rsid w:val="008A52F6"/>
    <w:rsid w:val="008B4D9F"/>
    <w:rsid w:val="008B7FC1"/>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A7603"/>
    <w:rsid w:val="009B4423"/>
    <w:rsid w:val="009C6140"/>
    <w:rsid w:val="009D2FA4"/>
    <w:rsid w:val="009D7D8A"/>
    <w:rsid w:val="009E4C67"/>
    <w:rsid w:val="009F09BF"/>
    <w:rsid w:val="009F1DC8"/>
    <w:rsid w:val="009F437E"/>
    <w:rsid w:val="00A11788"/>
    <w:rsid w:val="00A23E05"/>
    <w:rsid w:val="00A30847"/>
    <w:rsid w:val="00A36AE2"/>
    <w:rsid w:val="00A43E49"/>
    <w:rsid w:val="00A44EA2"/>
    <w:rsid w:val="00A51E96"/>
    <w:rsid w:val="00A56D63"/>
    <w:rsid w:val="00A62DDB"/>
    <w:rsid w:val="00A67685"/>
    <w:rsid w:val="00A728AE"/>
    <w:rsid w:val="00A804AE"/>
    <w:rsid w:val="00A86449"/>
    <w:rsid w:val="00A87C1C"/>
    <w:rsid w:val="00A92887"/>
    <w:rsid w:val="00AA4CAB"/>
    <w:rsid w:val="00AA51AD"/>
    <w:rsid w:val="00AA730D"/>
    <w:rsid w:val="00AB2E01"/>
    <w:rsid w:val="00AB5EB2"/>
    <w:rsid w:val="00AC000C"/>
    <w:rsid w:val="00AC7E26"/>
    <w:rsid w:val="00AD45BB"/>
    <w:rsid w:val="00AE1643"/>
    <w:rsid w:val="00AE3A6C"/>
    <w:rsid w:val="00AF09B8"/>
    <w:rsid w:val="00AF567D"/>
    <w:rsid w:val="00B0622A"/>
    <w:rsid w:val="00B11368"/>
    <w:rsid w:val="00B17709"/>
    <w:rsid w:val="00B23828"/>
    <w:rsid w:val="00B41415"/>
    <w:rsid w:val="00B440C3"/>
    <w:rsid w:val="00B46B7D"/>
    <w:rsid w:val="00B50560"/>
    <w:rsid w:val="00B64B3C"/>
    <w:rsid w:val="00B673C6"/>
    <w:rsid w:val="00B74859"/>
    <w:rsid w:val="00B8735C"/>
    <w:rsid w:val="00B87D3D"/>
    <w:rsid w:val="00B91243"/>
    <w:rsid w:val="00BA0B57"/>
    <w:rsid w:val="00BA481C"/>
    <w:rsid w:val="00BB059E"/>
    <w:rsid w:val="00BB2420"/>
    <w:rsid w:val="00BB3A73"/>
    <w:rsid w:val="00BB49AC"/>
    <w:rsid w:val="00BB5ACE"/>
    <w:rsid w:val="00BC10B5"/>
    <w:rsid w:val="00BC1BD2"/>
    <w:rsid w:val="00BC6BE4"/>
    <w:rsid w:val="00BE47CD"/>
    <w:rsid w:val="00BE5BF9"/>
    <w:rsid w:val="00C1106C"/>
    <w:rsid w:val="00C26361"/>
    <w:rsid w:val="00C302F1"/>
    <w:rsid w:val="00C3575F"/>
    <w:rsid w:val="00C42AEA"/>
    <w:rsid w:val="00C57985"/>
    <w:rsid w:val="00C6751B"/>
    <w:rsid w:val="00CA516B"/>
    <w:rsid w:val="00CB7C39"/>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0E63"/>
    <w:rsid w:val="00DB69FD"/>
    <w:rsid w:val="00DC0A8A"/>
    <w:rsid w:val="00DC1705"/>
    <w:rsid w:val="00DC39A9"/>
    <w:rsid w:val="00DC4C79"/>
    <w:rsid w:val="00DE6249"/>
    <w:rsid w:val="00DE731D"/>
    <w:rsid w:val="00E0076D"/>
    <w:rsid w:val="00E06A75"/>
    <w:rsid w:val="00E11B44"/>
    <w:rsid w:val="00E15DEB"/>
    <w:rsid w:val="00E1688D"/>
    <w:rsid w:val="00E203EB"/>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A2F98"/>
    <w:rsid w:val="00EA669F"/>
    <w:rsid w:val="00EB62F2"/>
    <w:rsid w:val="00EB7C6F"/>
    <w:rsid w:val="00EC2AFC"/>
    <w:rsid w:val="00EF6A35"/>
    <w:rsid w:val="00F138F7"/>
    <w:rsid w:val="00F2008A"/>
    <w:rsid w:val="00F21D9E"/>
    <w:rsid w:val="00F25348"/>
    <w:rsid w:val="00F309CC"/>
    <w:rsid w:val="00F45506"/>
    <w:rsid w:val="00F60062"/>
    <w:rsid w:val="00F613CC"/>
    <w:rsid w:val="00F76777"/>
    <w:rsid w:val="00F83F2F"/>
    <w:rsid w:val="00F86555"/>
    <w:rsid w:val="00F86C58"/>
    <w:rsid w:val="00FA76BF"/>
    <w:rsid w:val="00FB3ED5"/>
    <w:rsid w:val="00FC3B03"/>
    <w:rsid w:val="00FD06DD"/>
    <w:rsid w:val="00FE2B73"/>
    <w:rsid w:val="00FF03A2"/>
    <w:rsid w:val="00FF207B"/>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64C14-2968-4C14-AFCB-90E7D0000E5B}">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4.xml><?xml version="1.0" encoding="utf-8"?>
<ds:datastoreItem xmlns:ds="http://schemas.openxmlformats.org/officeDocument/2006/customXml" ds:itemID="{5025DBF4-0068-4A81-91CA-ECCCC0C16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2862</Words>
  <Characters>17172</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2020-08-19T14:18:00Z</dcterms:created>
  <dcterms:modified xsi:type="dcterms:W3CDTF">2020-08-19T14:18:00Z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